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44F" w:rsidRPr="00195748" w:rsidRDefault="002C144F" w:rsidP="002C144F">
      <w:pPr>
        <w:pStyle w:val="ListParagraph"/>
        <w:ind w:left="0"/>
        <w:rPr>
          <w:b/>
          <w:sz w:val="28"/>
          <w:szCs w:val="28"/>
          <w:u w:val="single"/>
        </w:rPr>
      </w:pPr>
      <w:r w:rsidRPr="00195748">
        <w:rPr>
          <w:b/>
          <w:sz w:val="28"/>
          <w:szCs w:val="28"/>
          <w:u w:val="single"/>
        </w:rPr>
        <w:t>In particular we are looking for proposals in the following areas:</w:t>
      </w:r>
    </w:p>
    <w:p w:rsidR="002C144F" w:rsidRPr="00195748" w:rsidRDefault="002C144F" w:rsidP="002C144F">
      <w:pPr>
        <w:pStyle w:val="ListParagraph"/>
        <w:numPr>
          <w:ilvl w:val="0"/>
          <w:numId w:val="7"/>
        </w:numPr>
        <w:rPr>
          <w:b/>
          <w:sz w:val="28"/>
          <w:szCs w:val="28"/>
          <w:u w:val="single"/>
        </w:rPr>
      </w:pPr>
      <w:r w:rsidRPr="00195748">
        <w:rPr>
          <w:b/>
          <w:sz w:val="28"/>
          <w:szCs w:val="28"/>
          <w:u w:val="single"/>
        </w:rPr>
        <w:t xml:space="preserve">Participating in administrative fair hearings (with mock hearings) </w:t>
      </w:r>
    </w:p>
    <w:p w:rsidR="002C144F" w:rsidRPr="00195748" w:rsidRDefault="002C144F" w:rsidP="002C144F">
      <w:pPr>
        <w:pStyle w:val="ListParagraph"/>
        <w:numPr>
          <w:ilvl w:val="0"/>
          <w:numId w:val="7"/>
        </w:numPr>
        <w:rPr>
          <w:b/>
          <w:sz w:val="28"/>
          <w:szCs w:val="28"/>
          <w:u w:val="single"/>
        </w:rPr>
      </w:pPr>
      <w:r w:rsidRPr="00195748">
        <w:rPr>
          <w:b/>
          <w:sz w:val="28"/>
          <w:szCs w:val="28"/>
          <w:u w:val="single"/>
        </w:rPr>
        <w:t xml:space="preserve">Preparing vulnerable witnesses (with role playing) </w:t>
      </w:r>
    </w:p>
    <w:p w:rsidR="002C144F" w:rsidRPr="00195748" w:rsidRDefault="002C144F" w:rsidP="002C144F">
      <w:pPr>
        <w:pStyle w:val="ListParagraph"/>
        <w:numPr>
          <w:ilvl w:val="0"/>
          <w:numId w:val="7"/>
        </w:numPr>
        <w:rPr>
          <w:b/>
          <w:sz w:val="28"/>
          <w:szCs w:val="28"/>
          <w:u w:val="single"/>
        </w:rPr>
      </w:pPr>
      <w:r w:rsidRPr="00195748">
        <w:rPr>
          <w:b/>
          <w:sz w:val="28"/>
          <w:szCs w:val="28"/>
          <w:u w:val="single"/>
        </w:rPr>
        <w:t xml:space="preserve">Examining and cross-examining vulnerable witnesses (with role playing) </w:t>
      </w:r>
    </w:p>
    <w:p w:rsidR="002C144F" w:rsidRPr="00195748" w:rsidRDefault="002C144F" w:rsidP="002C144F">
      <w:pPr>
        <w:pStyle w:val="ListParagraph"/>
        <w:numPr>
          <w:ilvl w:val="0"/>
          <w:numId w:val="7"/>
        </w:numPr>
        <w:rPr>
          <w:b/>
          <w:sz w:val="28"/>
          <w:szCs w:val="28"/>
          <w:u w:val="single"/>
        </w:rPr>
      </w:pPr>
      <w:r w:rsidRPr="00195748">
        <w:rPr>
          <w:b/>
          <w:sz w:val="28"/>
          <w:szCs w:val="28"/>
          <w:u w:val="single"/>
        </w:rPr>
        <w:t>Evidence and Objections Refresher, introducing business records, exhibits, photos, medical records, illustrations, qualifying experts and subpoenas 101. (demo, role plays, or game show.)</w:t>
      </w:r>
    </w:p>
    <w:p w:rsidR="002C144F" w:rsidRPr="00195748" w:rsidRDefault="002C144F" w:rsidP="002C144F">
      <w:pPr>
        <w:pStyle w:val="ListParagraph"/>
        <w:numPr>
          <w:ilvl w:val="0"/>
          <w:numId w:val="7"/>
        </w:numPr>
        <w:rPr>
          <w:b/>
          <w:sz w:val="28"/>
          <w:szCs w:val="28"/>
          <w:u w:val="single"/>
        </w:rPr>
      </w:pPr>
      <w:r w:rsidRPr="00195748">
        <w:rPr>
          <w:b/>
          <w:sz w:val="28"/>
          <w:szCs w:val="28"/>
          <w:u w:val="single"/>
        </w:rPr>
        <w:t xml:space="preserve">Legal and interdisciplinary ethics (with case studies) </w:t>
      </w:r>
    </w:p>
    <w:p w:rsidR="002C144F" w:rsidRPr="00195748" w:rsidRDefault="002C144F" w:rsidP="002C144F">
      <w:pPr>
        <w:pStyle w:val="ListParagraph"/>
        <w:numPr>
          <w:ilvl w:val="0"/>
          <w:numId w:val="7"/>
        </w:numPr>
        <w:rPr>
          <w:b/>
          <w:sz w:val="28"/>
          <w:szCs w:val="28"/>
          <w:u w:val="single"/>
        </w:rPr>
      </w:pPr>
      <w:r w:rsidRPr="00195748">
        <w:rPr>
          <w:b/>
          <w:sz w:val="28"/>
          <w:szCs w:val="28"/>
          <w:u w:val="single"/>
        </w:rPr>
        <w:t xml:space="preserve">Practical discovery, depositions, drafting admissions, drafting interrogatories. (demo, role plays, drafting exercises) </w:t>
      </w:r>
    </w:p>
    <w:p w:rsidR="002C144F" w:rsidRPr="00972842" w:rsidRDefault="002C144F" w:rsidP="002C144F">
      <w:pPr>
        <w:pStyle w:val="ListParagraph"/>
        <w:ind w:left="0"/>
        <w:rPr>
          <w:b/>
          <w:sz w:val="32"/>
          <w:szCs w:val="32"/>
        </w:rPr>
      </w:pPr>
    </w:p>
    <w:p w:rsidR="002C144F" w:rsidRPr="00972842" w:rsidRDefault="002C144F" w:rsidP="002C144F">
      <w:pPr>
        <w:pStyle w:val="ListParagraph"/>
        <w:ind w:left="0"/>
        <w:jc w:val="center"/>
        <w:rPr>
          <w:b/>
          <w:sz w:val="32"/>
          <w:szCs w:val="32"/>
        </w:rPr>
      </w:pPr>
    </w:p>
    <w:p w:rsidR="002C144F" w:rsidRPr="00972842" w:rsidRDefault="002C144F" w:rsidP="002C144F">
      <w:pPr>
        <w:pStyle w:val="ListParagraph"/>
        <w:ind w:left="0"/>
        <w:jc w:val="center"/>
        <w:rPr>
          <w:b/>
          <w:sz w:val="32"/>
          <w:szCs w:val="32"/>
        </w:rPr>
      </w:pPr>
    </w:p>
    <w:p w:rsidR="002C144F" w:rsidRDefault="002C144F" w:rsidP="002C144F">
      <w:pPr>
        <w:rPr>
          <w:b/>
          <w:sz w:val="32"/>
          <w:szCs w:val="32"/>
        </w:rPr>
      </w:pPr>
      <w:r>
        <w:rPr>
          <w:b/>
          <w:sz w:val="32"/>
          <w:szCs w:val="32"/>
        </w:rPr>
        <w:t xml:space="preserve">Workshop Title (Maximum 100 characters and spaces.)  </w:t>
      </w:r>
    </w:p>
    <w:p w:rsidR="002C144F" w:rsidRDefault="002C144F" w:rsidP="002C144F">
      <w:pPr>
        <w:rPr>
          <w:b/>
          <w:sz w:val="32"/>
          <w:szCs w:val="32"/>
        </w:rPr>
      </w:pPr>
      <w:r>
        <w:rPr>
          <w:b/>
          <w:sz w:val="32"/>
          <w:szCs w:val="32"/>
        </w:rPr>
        <w:t xml:space="preserve">For tips on creating better session titles watch the short video clip at </w:t>
      </w:r>
      <w:hyperlink r:id="rId7" w:history="1">
        <w:r w:rsidRPr="00A129C7">
          <w:rPr>
            <w:rStyle w:val="Hyperlink"/>
            <w:sz w:val="32"/>
            <w:szCs w:val="32"/>
          </w:rPr>
          <w:t>https://www.americanbar.org/groups/law_aging/events_cle/</w:t>
        </w:r>
      </w:hyperlink>
      <w:r>
        <w:rPr>
          <w:b/>
          <w:sz w:val="32"/>
          <w:szCs w:val="32"/>
        </w:rPr>
        <w:t xml:space="preserve"> </w:t>
      </w:r>
    </w:p>
    <w:p w:rsidR="002C144F" w:rsidRDefault="002C144F" w:rsidP="002C144F">
      <w:pPr>
        <w:rPr>
          <w:b/>
          <w:sz w:val="32"/>
          <w:szCs w:val="32"/>
        </w:rPr>
      </w:pPr>
      <w:r>
        <w:rPr>
          <w:b/>
          <w:sz w:val="32"/>
          <w:szCs w:val="32"/>
        </w:rPr>
        <w:t>_________________________________</w:t>
      </w:r>
    </w:p>
    <w:p w:rsidR="002C144F" w:rsidRPr="00972842" w:rsidRDefault="002C144F" w:rsidP="002C144F">
      <w:pPr>
        <w:rPr>
          <w:b/>
        </w:rPr>
      </w:pPr>
      <w:r w:rsidRPr="00972842">
        <w:rPr>
          <w:b/>
        </w:rPr>
        <w:t xml:space="preserve">This proposal is in the following category </w:t>
      </w:r>
      <w:r w:rsidRPr="00A827F5">
        <w:rPr>
          <w:b/>
          <w:sz w:val="40"/>
          <w:szCs w:val="40"/>
          <w:u w:val="single"/>
        </w:rPr>
        <w:t>(</w:t>
      </w:r>
      <w:r w:rsidRPr="00972842">
        <w:rPr>
          <w:b/>
          <w:sz w:val="40"/>
          <w:szCs w:val="40"/>
          <w:u w:val="single"/>
        </w:rPr>
        <w:t>Select only One</w:t>
      </w:r>
      <w:r w:rsidRPr="00A827F5">
        <w:rPr>
          <w:b/>
          <w:sz w:val="40"/>
          <w:szCs w:val="40"/>
          <w:u w:val="single"/>
        </w:rPr>
        <w:t>)</w:t>
      </w:r>
    </w:p>
    <w:tbl>
      <w:tblPr>
        <w:tblStyle w:val="TableGrid"/>
        <w:tblW w:w="0" w:type="auto"/>
        <w:tblLook w:val="04A0" w:firstRow="1" w:lastRow="0" w:firstColumn="1" w:lastColumn="0" w:noHBand="0" w:noVBand="1"/>
      </w:tblPr>
      <w:tblGrid>
        <w:gridCol w:w="1404"/>
        <w:gridCol w:w="6109"/>
      </w:tblGrid>
      <w:tr w:rsidR="002C144F" w:rsidRPr="00972842" w:rsidTr="00D80EF7">
        <w:trPr>
          <w:trHeight w:val="299"/>
        </w:trPr>
        <w:tc>
          <w:tcPr>
            <w:tcW w:w="1404" w:type="dxa"/>
          </w:tcPr>
          <w:p w:rsidR="002C144F" w:rsidRPr="00972842" w:rsidRDefault="002C144F" w:rsidP="00D80EF7">
            <w:r w:rsidRPr="00972842">
              <w:t xml:space="preserve"> </w:t>
            </w:r>
          </w:p>
        </w:tc>
        <w:tc>
          <w:tcPr>
            <w:tcW w:w="6109" w:type="dxa"/>
          </w:tcPr>
          <w:p w:rsidR="002C144F" w:rsidRPr="00972842" w:rsidRDefault="002C144F" w:rsidP="00D80EF7">
            <w:r>
              <w:t xml:space="preserve">Elder Justice </w:t>
            </w:r>
          </w:p>
        </w:tc>
      </w:tr>
      <w:tr w:rsidR="002C144F" w:rsidRPr="00972842" w:rsidTr="00D80EF7">
        <w:trPr>
          <w:trHeight w:val="299"/>
        </w:trPr>
        <w:tc>
          <w:tcPr>
            <w:tcW w:w="1404" w:type="dxa"/>
          </w:tcPr>
          <w:p w:rsidR="002C144F" w:rsidRPr="00972842" w:rsidRDefault="002C144F" w:rsidP="00D80EF7"/>
        </w:tc>
        <w:tc>
          <w:tcPr>
            <w:tcW w:w="6109" w:type="dxa"/>
          </w:tcPr>
          <w:p w:rsidR="002C144F" w:rsidRPr="00972842" w:rsidRDefault="002C144F" w:rsidP="00D80EF7">
            <w:r>
              <w:t>Self determination / advance planning</w:t>
            </w:r>
          </w:p>
        </w:tc>
      </w:tr>
      <w:tr w:rsidR="002C144F" w:rsidRPr="00972842" w:rsidTr="00D80EF7">
        <w:trPr>
          <w:trHeight w:val="282"/>
        </w:trPr>
        <w:tc>
          <w:tcPr>
            <w:tcW w:w="1404" w:type="dxa"/>
          </w:tcPr>
          <w:p w:rsidR="002C144F" w:rsidRPr="00972842" w:rsidRDefault="002C144F" w:rsidP="00D80EF7"/>
        </w:tc>
        <w:tc>
          <w:tcPr>
            <w:tcW w:w="6109" w:type="dxa"/>
          </w:tcPr>
          <w:p w:rsidR="002C144F" w:rsidRPr="00972842" w:rsidRDefault="002C144F" w:rsidP="00D80EF7">
            <w:r>
              <w:t xml:space="preserve">Ethical issues </w:t>
            </w:r>
          </w:p>
        </w:tc>
      </w:tr>
      <w:tr w:rsidR="002C144F" w:rsidRPr="00972842" w:rsidTr="00D80EF7">
        <w:trPr>
          <w:trHeight w:val="299"/>
        </w:trPr>
        <w:tc>
          <w:tcPr>
            <w:tcW w:w="1404" w:type="dxa"/>
          </w:tcPr>
          <w:p w:rsidR="002C144F" w:rsidRPr="00972842" w:rsidRDefault="002C144F" w:rsidP="00D80EF7"/>
        </w:tc>
        <w:tc>
          <w:tcPr>
            <w:tcW w:w="6109" w:type="dxa"/>
          </w:tcPr>
          <w:p w:rsidR="002C144F" w:rsidRPr="00972842" w:rsidRDefault="002C144F" w:rsidP="00D80EF7">
            <w:r>
              <w:t xml:space="preserve">Guardianship and fiduciaries </w:t>
            </w:r>
          </w:p>
        </w:tc>
      </w:tr>
      <w:tr w:rsidR="002C144F" w:rsidRPr="00972842" w:rsidTr="00D80EF7">
        <w:trPr>
          <w:trHeight w:val="282"/>
        </w:trPr>
        <w:tc>
          <w:tcPr>
            <w:tcW w:w="1404" w:type="dxa"/>
          </w:tcPr>
          <w:p w:rsidR="002C144F" w:rsidRPr="00972842" w:rsidRDefault="002C144F" w:rsidP="00D80EF7"/>
        </w:tc>
        <w:tc>
          <w:tcPr>
            <w:tcW w:w="6109" w:type="dxa"/>
          </w:tcPr>
          <w:p w:rsidR="002C144F" w:rsidRPr="00972842" w:rsidRDefault="002C144F" w:rsidP="00D80EF7">
            <w:r>
              <w:t xml:space="preserve">Abuse, neglect, exploitation </w:t>
            </w:r>
          </w:p>
        </w:tc>
      </w:tr>
      <w:tr w:rsidR="002C144F" w:rsidRPr="00972842" w:rsidTr="00D80EF7">
        <w:trPr>
          <w:trHeight w:val="299"/>
        </w:trPr>
        <w:tc>
          <w:tcPr>
            <w:tcW w:w="1404" w:type="dxa"/>
          </w:tcPr>
          <w:p w:rsidR="002C144F" w:rsidRPr="00972842" w:rsidRDefault="002C144F" w:rsidP="00D80EF7"/>
        </w:tc>
        <w:tc>
          <w:tcPr>
            <w:tcW w:w="6109" w:type="dxa"/>
          </w:tcPr>
          <w:p w:rsidR="002C144F" w:rsidRPr="00972842" w:rsidRDefault="002C144F" w:rsidP="00D80EF7">
            <w:r>
              <w:t xml:space="preserve">Legal Service development and delivery </w:t>
            </w:r>
          </w:p>
        </w:tc>
      </w:tr>
      <w:tr w:rsidR="002C144F" w:rsidRPr="00972842" w:rsidTr="00D80EF7">
        <w:trPr>
          <w:trHeight w:val="299"/>
        </w:trPr>
        <w:tc>
          <w:tcPr>
            <w:tcW w:w="1404" w:type="dxa"/>
          </w:tcPr>
          <w:p w:rsidR="002C144F" w:rsidRPr="00972842" w:rsidRDefault="002C144F" w:rsidP="00D80EF7"/>
        </w:tc>
        <w:tc>
          <w:tcPr>
            <w:tcW w:w="6109" w:type="dxa"/>
          </w:tcPr>
          <w:p w:rsidR="002C144F" w:rsidRPr="00972842" w:rsidRDefault="002C144F" w:rsidP="00D80EF7">
            <w:r w:rsidRPr="00ED4D3D">
              <w:t>Interdisciplinary theme</w:t>
            </w:r>
            <w:r>
              <w:t xml:space="preserve">s – how law and other professions differ or collaborate </w:t>
            </w:r>
          </w:p>
        </w:tc>
      </w:tr>
      <w:tr w:rsidR="002C144F" w:rsidRPr="00972842" w:rsidTr="00D80EF7">
        <w:trPr>
          <w:trHeight w:val="282"/>
        </w:trPr>
        <w:tc>
          <w:tcPr>
            <w:tcW w:w="1404" w:type="dxa"/>
          </w:tcPr>
          <w:p w:rsidR="002C144F" w:rsidRPr="00972842" w:rsidRDefault="002C144F" w:rsidP="00D80EF7"/>
        </w:tc>
        <w:tc>
          <w:tcPr>
            <w:tcW w:w="6109" w:type="dxa"/>
          </w:tcPr>
          <w:p w:rsidR="002C144F" w:rsidRPr="00972842" w:rsidRDefault="002C144F" w:rsidP="00D80EF7">
            <w:r>
              <w:t xml:space="preserve">Health care – Medicare - Medicaid- </w:t>
            </w:r>
          </w:p>
        </w:tc>
      </w:tr>
      <w:tr w:rsidR="002C144F" w:rsidRPr="00972842" w:rsidTr="00D80EF7">
        <w:trPr>
          <w:trHeight w:val="299"/>
        </w:trPr>
        <w:tc>
          <w:tcPr>
            <w:tcW w:w="1404" w:type="dxa"/>
          </w:tcPr>
          <w:p w:rsidR="002C144F" w:rsidRPr="00972842" w:rsidRDefault="002C144F" w:rsidP="00D80EF7"/>
        </w:tc>
        <w:tc>
          <w:tcPr>
            <w:tcW w:w="6109" w:type="dxa"/>
          </w:tcPr>
          <w:p w:rsidR="002C144F" w:rsidRPr="00972842" w:rsidRDefault="002C144F" w:rsidP="00D80EF7">
            <w:r>
              <w:t xml:space="preserve">Long-term care  </w:t>
            </w:r>
          </w:p>
        </w:tc>
      </w:tr>
      <w:tr w:rsidR="002C144F" w:rsidRPr="00972842" w:rsidTr="00D80EF7">
        <w:trPr>
          <w:trHeight w:val="282"/>
        </w:trPr>
        <w:tc>
          <w:tcPr>
            <w:tcW w:w="1404" w:type="dxa"/>
          </w:tcPr>
          <w:p w:rsidR="002C144F" w:rsidRPr="00972842" w:rsidRDefault="002C144F" w:rsidP="00D80EF7"/>
        </w:tc>
        <w:tc>
          <w:tcPr>
            <w:tcW w:w="6109" w:type="dxa"/>
          </w:tcPr>
          <w:p w:rsidR="002C144F" w:rsidRPr="00972842" w:rsidRDefault="002C144F" w:rsidP="00D80EF7">
            <w:r>
              <w:t xml:space="preserve">Consumer law </w:t>
            </w:r>
          </w:p>
        </w:tc>
      </w:tr>
      <w:tr w:rsidR="002C144F" w:rsidRPr="00972842" w:rsidTr="00D80EF7">
        <w:trPr>
          <w:trHeight w:val="299"/>
        </w:trPr>
        <w:tc>
          <w:tcPr>
            <w:tcW w:w="1404" w:type="dxa"/>
          </w:tcPr>
          <w:p w:rsidR="002C144F" w:rsidRPr="00972842" w:rsidRDefault="002C144F" w:rsidP="00D80EF7"/>
        </w:tc>
        <w:tc>
          <w:tcPr>
            <w:tcW w:w="6109" w:type="dxa"/>
          </w:tcPr>
          <w:p w:rsidR="002C144F" w:rsidRPr="00972842" w:rsidRDefault="002C144F" w:rsidP="00D80EF7">
            <w:r>
              <w:t xml:space="preserve">Housing, nutrition, and other benefits </w:t>
            </w:r>
          </w:p>
        </w:tc>
      </w:tr>
      <w:tr w:rsidR="002C144F" w:rsidRPr="00972842" w:rsidTr="00D80EF7">
        <w:trPr>
          <w:trHeight w:val="282"/>
        </w:trPr>
        <w:tc>
          <w:tcPr>
            <w:tcW w:w="1404" w:type="dxa"/>
          </w:tcPr>
          <w:p w:rsidR="002C144F" w:rsidRPr="00972842" w:rsidRDefault="002C144F" w:rsidP="00D80EF7"/>
        </w:tc>
        <w:tc>
          <w:tcPr>
            <w:tcW w:w="6109" w:type="dxa"/>
          </w:tcPr>
          <w:p w:rsidR="002C144F" w:rsidRPr="00972842" w:rsidRDefault="002C144F" w:rsidP="00D80EF7">
            <w:r>
              <w:t>Income security</w:t>
            </w:r>
          </w:p>
        </w:tc>
      </w:tr>
      <w:tr w:rsidR="002C144F" w:rsidRPr="00972842" w:rsidTr="00D80EF7">
        <w:trPr>
          <w:trHeight w:val="299"/>
        </w:trPr>
        <w:tc>
          <w:tcPr>
            <w:tcW w:w="1404" w:type="dxa"/>
          </w:tcPr>
          <w:p w:rsidR="002C144F" w:rsidRPr="00972842" w:rsidRDefault="002C144F" w:rsidP="00D80EF7"/>
        </w:tc>
        <w:tc>
          <w:tcPr>
            <w:tcW w:w="6109" w:type="dxa"/>
          </w:tcPr>
          <w:p w:rsidR="002C144F" w:rsidRPr="00972842" w:rsidRDefault="002C144F" w:rsidP="00D80EF7">
            <w:r>
              <w:t xml:space="preserve">Social Security, SSDI, SSI, VA, Pensions </w:t>
            </w:r>
          </w:p>
        </w:tc>
      </w:tr>
      <w:tr w:rsidR="002C144F" w:rsidRPr="00972842" w:rsidTr="00D80EF7">
        <w:trPr>
          <w:trHeight w:val="299"/>
        </w:trPr>
        <w:tc>
          <w:tcPr>
            <w:tcW w:w="1404" w:type="dxa"/>
          </w:tcPr>
          <w:p w:rsidR="002C144F" w:rsidRPr="00972842" w:rsidRDefault="002C144F" w:rsidP="00D80EF7"/>
        </w:tc>
        <w:tc>
          <w:tcPr>
            <w:tcW w:w="6109" w:type="dxa"/>
          </w:tcPr>
          <w:p w:rsidR="002C144F" w:rsidRPr="00972842" w:rsidRDefault="002C144F" w:rsidP="00D80EF7">
            <w:r>
              <w:t xml:space="preserve">Understanding and serving diverse clients </w:t>
            </w:r>
          </w:p>
        </w:tc>
      </w:tr>
      <w:tr w:rsidR="002C144F" w:rsidRPr="00972842" w:rsidTr="00D80EF7">
        <w:trPr>
          <w:trHeight w:val="282"/>
        </w:trPr>
        <w:tc>
          <w:tcPr>
            <w:tcW w:w="1404" w:type="dxa"/>
          </w:tcPr>
          <w:p w:rsidR="002C144F" w:rsidRPr="00972842" w:rsidRDefault="002C144F" w:rsidP="00D80EF7"/>
        </w:tc>
        <w:tc>
          <w:tcPr>
            <w:tcW w:w="6109" w:type="dxa"/>
          </w:tcPr>
          <w:p w:rsidR="002C144F" w:rsidRPr="00972842" w:rsidRDefault="002C144F" w:rsidP="00D80EF7">
            <w:r>
              <w:t>Disability and older clients</w:t>
            </w:r>
          </w:p>
        </w:tc>
      </w:tr>
      <w:tr w:rsidR="002C144F" w:rsidRPr="00972842" w:rsidTr="00D80EF7">
        <w:trPr>
          <w:trHeight w:val="299"/>
        </w:trPr>
        <w:tc>
          <w:tcPr>
            <w:tcW w:w="1404" w:type="dxa"/>
          </w:tcPr>
          <w:p w:rsidR="002C144F" w:rsidRPr="00972842" w:rsidRDefault="002C144F" w:rsidP="00D80EF7"/>
        </w:tc>
        <w:tc>
          <w:tcPr>
            <w:tcW w:w="6109" w:type="dxa"/>
          </w:tcPr>
          <w:p w:rsidR="002C144F" w:rsidRPr="00972842" w:rsidRDefault="002C144F" w:rsidP="00D80EF7">
            <w:r>
              <w:t xml:space="preserve">Civility </w:t>
            </w:r>
          </w:p>
        </w:tc>
      </w:tr>
      <w:tr w:rsidR="002C144F" w:rsidRPr="00972842" w:rsidTr="00D80EF7">
        <w:trPr>
          <w:trHeight w:val="282"/>
        </w:trPr>
        <w:tc>
          <w:tcPr>
            <w:tcW w:w="1404" w:type="dxa"/>
          </w:tcPr>
          <w:p w:rsidR="002C144F" w:rsidRPr="00972842" w:rsidRDefault="002C144F" w:rsidP="00D80EF7"/>
        </w:tc>
        <w:tc>
          <w:tcPr>
            <w:tcW w:w="6109" w:type="dxa"/>
          </w:tcPr>
          <w:p w:rsidR="002C144F" w:rsidRPr="00972842" w:rsidRDefault="002C144F" w:rsidP="00D80EF7">
            <w:r>
              <w:t xml:space="preserve">Drafting skills for lawyers </w:t>
            </w:r>
          </w:p>
        </w:tc>
      </w:tr>
      <w:tr w:rsidR="002C144F" w:rsidRPr="00972842" w:rsidTr="00D80EF7">
        <w:trPr>
          <w:trHeight w:val="299"/>
        </w:trPr>
        <w:tc>
          <w:tcPr>
            <w:tcW w:w="1404" w:type="dxa"/>
          </w:tcPr>
          <w:p w:rsidR="002C144F" w:rsidRPr="00972842" w:rsidRDefault="002C144F" w:rsidP="00D80EF7"/>
        </w:tc>
        <w:tc>
          <w:tcPr>
            <w:tcW w:w="6109" w:type="dxa"/>
          </w:tcPr>
          <w:p w:rsidR="002C144F" w:rsidRPr="00972842" w:rsidRDefault="002C144F" w:rsidP="00D80EF7">
            <w:r>
              <w:t xml:space="preserve">Interviewing skills for lawyers </w:t>
            </w:r>
          </w:p>
        </w:tc>
      </w:tr>
      <w:tr w:rsidR="002C144F" w:rsidRPr="00972842" w:rsidTr="00D80EF7">
        <w:trPr>
          <w:trHeight w:val="299"/>
        </w:trPr>
        <w:tc>
          <w:tcPr>
            <w:tcW w:w="1404" w:type="dxa"/>
          </w:tcPr>
          <w:p w:rsidR="002C144F" w:rsidRPr="00972842" w:rsidRDefault="002C144F" w:rsidP="00D80EF7"/>
        </w:tc>
        <w:tc>
          <w:tcPr>
            <w:tcW w:w="6109" w:type="dxa"/>
          </w:tcPr>
          <w:p w:rsidR="002C144F" w:rsidRPr="00972842" w:rsidRDefault="002C144F" w:rsidP="00D80EF7">
            <w:r>
              <w:t xml:space="preserve">Administrative hearings </w:t>
            </w:r>
          </w:p>
        </w:tc>
      </w:tr>
      <w:tr w:rsidR="002C144F" w:rsidRPr="00972842" w:rsidTr="00D80EF7">
        <w:trPr>
          <w:trHeight w:val="299"/>
        </w:trPr>
        <w:tc>
          <w:tcPr>
            <w:tcW w:w="1404" w:type="dxa"/>
          </w:tcPr>
          <w:p w:rsidR="002C144F" w:rsidRPr="00972842" w:rsidRDefault="002C144F" w:rsidP="00D80EF7"/>
        </w:tc>
        <w:tc>
          <w:tcPr>
            <w:tcW w:w="6109" w:type="dxa"/>
          </w:tcPr>
          <w:p w:rsidR="002C144F" w:rsidRPr="00972842" w:rsidRDefault="002C144F" w:rsidP="00D80EF7">
            <w:r>
              <w:t xml:space="preserve">Trial skills for lawyers </w:t>
            </w:r>
          </w:p>
        </w:tc>
      </w:tr>
      <w:tr w:rsidR="002C144F" w:rsidRPr="00972842" w:rsidTr="00D80EF7">
        <w:trPr>
          <w:trHeight w:val="299"/>
        </w:trPr>
        <w:tc>
          <w:tcPr>
            <w:tcW w:w="1404" w:type="dxa"/>
          </w:tcPr>
          <w:p w:rsidR="002C144F" w:rsidRPr="00972842" w:rsidRDefault="002C144F" w:rsidP="00D80EF7"/>
        </w:tc>
        <w:tc>
          <w:tcPr>
            <w:tcW w:w="6109" w:type="dxa"/>
          </w:tcPr>
          <w:p w:rsidR="002C144F" w:rsidRPr="00972842" w:rsidRDefault="002C144F" w:rsidP="00D80EF7">
            <w:r>
              <w:t xml:space="preserve">Data / record keeping/ forecasting / measurement </w:t>
            </w:r>
          </w:p>
        </w:tc>
      </w:tr>
      <w:tr w:rsidR="002C144F" w:rsidRPr="00972842" w:rsidTr="00D80EF7">
        <w:trPr>
          <w:trHeight w:val="299"/>
        </w:trPr>
        <w:tc>
          <w:tcPr>
            <w:tcW w:w="1404" w:type="dxa"/>
          </w:tcPr>
          <w:p w:rsidR="002C144F" w:rsidRPr="00972842" w:rsidRDefault="002C144F" w:rsidP="00D80EF7"/>
        </w:tc>
        <w:tc>
          <w:tcPr>
            <w:tcW w:w="6109" w:type="dxa"/>
          </w:tcPr>
          <w:p w:rsidR="002C144F" w:rsidRPr="00972842" w:rsidRDefault="002C144F" w:rsidP="00D80EF7">
            <w:r>
              <w:t xml:space="preserve">Capacity, Supported Decision Making, dementia </w:t>
            </w:r>
          </w:p>
        </w:tc>
      </w:tr>
      <w:tr w:rsidR="002C144F" w:rsidRPr="00972842" w:rsidTr="00D80EF7">
        <w:trPr>
          <w:trHeight w:val="299"/>
        </w:trPr>
        <w:tc>
          <w:tcPr>
            <w:tcW w:w="1404" w:type="dxa"/>
          </w:tcPr>
          <w:p w:rsidR="002C144F" w:rsidRPr="00972842" w:rsidRDefault="002C144F" w:rsidP="00D80EF7"/>
        </w:tc>
        <w:tc>
          <w:tcPr>
            <w:tcW w:w="6109" w:type="dxa"/>
          </w:tcPr>
          <w:p w:rsidR="002C144F" w:rsidRPr="00972842" w:rsidRDefault="002C144F" w:rsidP="00D80EF7">
            <w:r w:rsidRPr="00972842">
              <w:t xml:space="preserve">Other (please describe): </w:t>
            </w:r>
          </w:p>
          <w:p w:rsidR="002C144F" w:rsidRPr="00972842" w:rsidRDefault="002C144F" w:rsidP="00D80EF7"/>
        </w:tc>
      </w:tr>
    </w:tbl>
    <w:p w:rsidR="002C144F" w:rsidRPr="00972842" w:rsidRDefault="002C144F" w:rsidP="002C144F">
      <w:pPr>
        <w:rPr>
          <w:b/>
        </w:rPr>
      </w:pPr>
    </w:p>
    <w:p w:rsidR="002C144F" w:rsidRDefault="002C144F" w:rsidP="002C144F">
      <w:pPr>
        <w:rPr>
          <w:b/>
        </w:rPr>
      </w:pPr>
      <w:r w:rsidRPr="00972842">
        <w:rPr>
          <w:b/>
        </w:rPr>
        <w:t>Brief description for the Conference brochure (</w:t>
      </w:r>
      <w:r>
        <w:rPr>
          <w:b/>
          <w:u w:val="single"/>
        </w:rPr>
        <w:t xml:space="preserve">50 </w:t>
      </w:r>
      <w:r w:rsidRPr="00972842">
        <w:rPr>
          <w:b/>
          <w:u w:val="single"/>
        </w:rPr>
        <w:t>-word maximum</w:t>
      </w:r>
      <w:r w:rsidRPr="00972842">
        <w:rPr>
          <w:b/>
        </w:rPr>
        <w:t>)</w:t>
      </w:r>
      <w:r>
        <w:rPr>
          <w:rStyle w:val="FootnoteReference"/>
          <w:b/>
        </w:rPr>
        <w:footnoteReference w:id="1"/>
      </w:r>
      <w:r w:rsidRPr="00972842">
        <w:rPr>
          <w:b/>
        </w:rPr>
        <w:t xml:space="preserve">: </w:t>
      </w:r>
      <w:r>
        <w:rPr>
          <w:b/>
        </w:rPr>
        <w:t xml:space="preserve"> For tips and a simple formula for creating short session descriptions, watch the short video clip at </w:t>
      </w:r>
      <w:hyperlink r:id="rId8" w:history="1">
        <w:r w:rsidRPr="00A129C7">
          <w:rPr>
            <w:rStyle w:val="Hyperlink"/>
          </w:rPr>
          <w:t>https://www.americanbar.org/groups/law_aging/events_cle/</w:t>
        </w:r>
      </w:hyperlink>
      <w:r>
        <w:rPr>
          <w:b/>
        </w:rPr>
        <w:t xml:space="preserve"> </w:t>
      </w:r>
    </w:p>
    <w:p w:rsidR="002C144F" w:rsidRPr="00972842" w:rsidRDefault="002C144F" w:rsidP="002C144F"/>
    <w:p w:rsidR="002C144F" w:rsidRPr="00972842" w:rsidRDefault="002C144F" w:rsidP="002C144F">
      <w:r w:rsidRPr="00972842">
        <w:rPr>
          <w:b/>
        </w:rPr>
        <w:t>Three to five learning objectives</w:t>
      </w:r>
      <w:r>
        <w:rPr>
          <w:b/>
        </w:rPr>
        <w:t xml:space="preserve"> </w:t>
      </w:r>
      <w:r>
        <w:t>After this session participants will be able to ____</w:t>
      </w:r>
      <w:r w:rsidRPr="00972842">
        <w:t>:</w:t>
      </w:r>
      <w:r>
        <w:t xml:space="preserve"> (Use action verbs such as: be able to articulate, describe, offer, draft, _______.) </w:t>
      </w:r>
    </w:p>
    <w:p w:rsidR="002C144F" w:rsidRPr="00972842" w:rsidRDefault="002C144F" w:rsidP="002C144F">
      <w:pPr>
        <w:pStyle w:val="ListParagraph"/>
        <w:numPr>
          <w:ilvl w:val="0"/>
          <w:numId w:val="1"/>
        </w:numPr>
        <w:ind w:left="1440"/>
      </w:pPr>
      <w:r w:rsidRPr="00972842">
        <w:t xml:space="preserve"> </w:t>
      </w:r>
    </w:p>
    <w:p w:rsidR="002C144F" w:rsidRPr="00972842" w:rsidRDefault="002C144F" w:rsidP="002C144F">
      <w:pPr>
        <w:pStyle w:val="ListParagraph"/>
        <w:numPr>
          <w:ilvl w:val="0"/>
          <w:numId w:val="1"/>
        </w:numPr>
        <w:ind w:left="1440"/>
      </w:pPr>
      <w:r w:rsidRPr="00972842">
        <w:t xml:space="preserve"> </w:t>
      </w:r>
    </w:p>
    <w:p w:rsidR="002C144F" w:rsidRPr="00972842" w:rsidRDefault="002C144F" w:rsidP="002C144F">
      <w:pPr>
        <w:pStyle w:val="ListParagraph"/>
        <w:numPr>
          <w:ilvl w:val="0"/>
          <w:numId w:val="1"/>
        </w:numPr>
        <w:ind w:left="1440"/>
      </w:pPr>
      <w:r w:rsidRPr="00972842">
        <w:lastRenderedPageBreak/>
        <w:t xml:space="preserve"> </w:t>
      </w:r>
    </w:p>
    <w:p w:rsidR="002C144F" w:rsidRPr="00972842" w:rsidRDefault="002C144F" w:rsidP="002C144F">
      <w:pPr>
        <w:pStyle w:val="ListParagraph"/>
        <w:numPr>
          <w:ilvl w:val="0"/>
          <w:numId w:val="1"/>
        </w:numPr>
        <w:ind w:left="1440"/>
      </w:pPr>
      <w:r w:rsidRPr="00972842">
        <w:t xml:space="preserve"> </w:t>
      </w:r>
    </w:p>
    <w:p w:rsidR="002C144F" w:rsidRPr="00972842" w:rsidRDefault="002C144F" w:rsidP="002C144F">
      <w:pPr>
        <w:pStyle w:val="ListParagraph"/>
        <w:numPr>
          <w:ilvl w:val="0"/>
          <w:numId w:val="1"/>
        </w:numPr>
        <w:ind w:left="1440"/>
      </w:pPr>
    </w:p>
    <w:p w:rsidR="002C144F" w:rsidRPr="00972842" w:rsidRDefault="002C144F" w:rsidP="002C144F"/>
    <w:p w:rsidR="002C144F" w:rsidRPr="00972842" w:rsidRDefault="002C144F" w:rsidP="002C144F">
      <w:pPr>
        <w:rPr>
          <w:b/>
        </w:rPr>
      </w:pPr>
      <w:r w:rsidRPr="00972842">
        <w:rPr>
          <w:b/>
        </w:rPr>
        <w:t xml:space="preserve">Details on the proposed program for consideration by the selection committee. (As short or long as you want to be.) </w:t>
      </w:r>
    </w:p>
    <w:p w:rsidR="002C144F" w:rsidRPr="00972842" w:rsidRDefault="002C144F" w:rsidP="002C144F">
      <w:r w:rsidRPr="00972842">
        <w:tab/>
        <w:t xml:space="preserve">Tell us about: </w:t>
      </w:r>
    </w:p>
    <w:p w:rsidR="002C144F" w:rsidRPr="00972842" w:rsidRDefault="002C144F" w:rsidP="002C144F">
      <w:pPr>
        <w:pStyle w:val="ListParagraph"/>
        <w:numPr>
          <w:ilvl w:val="0"/>
          <w:numId w:val="2"/>
        </w:numPr>
      </w:pPr>
      <w:r w:rsidRPr="00972842">
        <w:t xml:space="preserve">Issues to be covered </w:t>
      </w:r>
    </w:p>
    <w:p w:rsidR="002C144F" w:rsidRPr="00972842" w:rsidRDefault="002C144F" w:rsidP="002C144F">
      <w:pPr>
        <w:pStyle w:val="ListParagraph"/>
        <w:numPr>
          <w:ilvl w:val="0"/>
          <w:numId w:val="2"/>
        </w:numPr>
      </w:pPr>
      <w:r w:rsidRPr="00972842">
        <w:t xml:space="preserve">Presentation format </w:t>
      </w:r>
    </w:p>
    <w:p w:rsidR="002C144F" w:rsidRPr="00972842" w:rsidRDefault="002C144F" w:rsidP="002C144F">
      <w:pPr>
        <w:pStyle w:val="ListParagraph"/>
        <w:numPr>
          <w:ilvl w:val="0"/>
          <w:numId w:val="2"/>
        </w:numPr>
      </w:pPr>
      <w:r w:rsidRPr="00972842">
        <w:t>How this session will advance the audience’s understanding of the issue</w:t>
      </w:r>
    </w:p>
    <w:p w:rsidR="002C144F" w:rsidRPr="00972842" w:rsidRDefault="002C144F" w:rsidP="002C144F">
      <w:pPr>
        <w:pStyle w:val="ListParagraph"/>
        <w:numPr>
          <w:ilvl w:val="0"/>
          <w:numId w:val="2"/>
        </w:numPr>
      </w:pPr>
      <w:r w:rsidRPr="00972842">
        <w:t xml:space="preserve">Is the coverage of the issue from a research, policy, experience, or practice point of view? </w:t>
      </w:r>
    </w:p>
    <w:p w:rsidR="002C144F" w:rsidRDefault="002C144F" w:rsidP="002C144F">
      <w:pPr>
        <w:rPr>
          <w:b/>
        </w:rPr>
      </w:pPr>
      <w:r>
        <w:rPr>
          <w:b/>
        </w:rPr>
        <w:t xml:space="preserve">What phrases describe your target audience? (Check all that apply.) </w:t>
      </w:r>
    </w:p>
    <w:tbl>
      <w:tblPr>
        <w:tblStyle w:val="TableGrid"/>
        <w:tblW w:w="0" w:type="auto"/>
        <w:tblLook w:val="04A0" w:firstRow="1" w:lastRow="0" w:firstColumn="1" w:lastColumn="0" w:noHBand="0" w:noVBand="1"/>
      </w:tblPr>
      <w:tblGrid>
        <w:gridCol w:w="895"/>
        <w:gridCol w:w="7110"/>
      </w:tblGrid>
      <w:tr w:rsidR="002C144F" w:rsidTr="00D80EF7">
        <w:tc>
          <w:tcPr>
            <w:tcW w:w="895" w:type="dxa"/>
          </w:tcPr>
          <w:p w:rsidR="002C144F" w:rsidRDefault="002C144F" w:rsidP="00D80EF7">
            <w:pPr>
              <w:rPr>
                <w:b/>
              </w:rPr>
            </w:pPr>
          </w:p>
        </w:tc>
        <w:tc>
          <w:tcPr>
            <w:tcW w:w="7110" w:type="dxa"/>
          </w:tcPr>
          <w:p w:rsidR="002C144F" w:rsidRDefault="002C144F" w:rsidP="00D80EF7">
            <w:pPr>
              <w:rPr>
                <w:b/>
              </w:rPr>
            </w:pPr>
            <w:r>
              <w:rPr>
                <w:b/>
              </w:rPr>
              <w:t>Basic</w:t>
            </w:r>
          </w:p>
        </w:tc>
      </w:tr>
      <w:tr w:rsidR="002C144F" w:rsidTr="00D80EF7">
        <w:tc>
          <w:tcPr>
            <w:tcW w:w="895" w:type="dxa"/>
          </w:tcPr>
          <w:p w:rsidR="002C144F" w:rsidRDefault="002C144F" w:rsidP="00D80EF7">
            <w:pPr>
              <w:rPr>
                <w:b/>
              </w:rPr>
            </w:pPr>
          </w:p>
        </w:tc>
        <w:tc>
          <w:tcPr>
            <w:tcW w:w="7110" w:type="dxa"/>
          </w:tcPr>
          <w:p w:rsidR="002C144F" w:rsidRDefault="002C144F" w:rsidP="00D80EF7">
            <w:pPr>
              <w:rPr>
                <w:b/>
              </w:rPr>
            </w:pPr>
            <w:r>
              <w:rPr>
                <w:b/>
              </w:rPr>
              <w:t>Experienced</w:t>
            </w:r>
          </w:p>
        </w:tc>
      </w:tr>
      <w:tr w:rsidR="002C144F" w:rsidTr="00D80EF7">
        <w:tc>
          <w:tcPr>
            <w:tcW w:w="895" w:type="dxa"/>
          </w:tcPr>
          <w:p w:rsidR="002C144F" w:rsidRDefault="002C144F" w:rsidP="00D80EF7">
            <w:pPr>
              <w:rPr>
                <w:b/>
              </w:rPr>
            </w:pPr>
          </w:p>
        </w:tc>
        <w:tc>
          <w:tcPr>
            <w:tcW w:w="7110" w:type="dxa"/>
          </w:tcPr>
          <w:p w:rsidR="002C144F" w:rsidRDefault="002C144F" w:rsidP="00D80EF7">
            <w:pPr>
              <w:rPr>
                <w:b/>
              </w:rPr>
            </w:pPr>
            <w:r>
              <w:rPr>
                <w:b/>
              </w:rPr>
              <w:t xml:space="preserve">Advanced </w:t>
            </w:r>
          </w:p>
        </w:tc>
      </w:tr>
      <w:tr w:rsidR="002C144F" w:rsidTr="00D80EF7">
        <w:tc>
          <w:tcPr>
            <w:tcW w:w="895" w:type="dxa"/>
          </w:tcPr>
          <w:p w:rsidR="002C144F" w:rsidRDefault="002C144F" w:rsidP="00D80EF7">
            <w:pPr>
              <w:rPr>
                <w:b/>
              </w:rPr>
            </w:pPr>
          </w:p>
        </w:tc>
        <w:tc>
          <w:tcPr>
            <w:tcW w:w="7110" w:type="dxa"/>
          </w:tcPr>
          <w:p w:rsidR="002C144F" w:rsidRDefault="002C144F" w:rsidP="00D80EF7">
            <w:pPr>
              <w:rPr>
                <w:b/>
              </w:rPr>
            </w:pPr>
            <w:r>
              <w:rPr>
                <w:b/>
              </w:rPr>
              <w:t xml:space="preserve">Litigation practitioners </w:t>
            </w:r>
          </w:p>
        </w:tc>
      </w:tr>
      <w:tr w:rsidR="002C144F" w:rsidTr="00D80EF7">
        <w:tc>
          <w:tcPr>
            <w:tcW w:w="895" w:type="dxa"/>
          </w:tcPr>
          <w:p w:rsidR="002C144F" w:rsidRDefault="002C144F" w:rsidP="00D80EF7">
            <w:pPr>
              <w:rPr>
                <w:b/>
              </w:rPr>
            </w:pPr>
          </w:p>
        </w:tc>
        <w:tc>
          <w:tcPr>
            <w:tcW w:w="7110" w:type="dxa"/>
          </w:tcPr>
          <w:p w:rsidR="002C144F" w:rsidRDefault="002C144F" w:rsidP="00D80EF7">
            <w:pPr>
              <w:rPr>
                <w:b/>
              </w:rPr>
            </w:pPr>
            <w:r>
              <w:rPr>
                <w:b/>
              </w:rPr>
              <w:t xml:space="preserve">Counseling and transactional advocates </w:t>
            </w:r>
          </w:p>
        </w:tc>
      </w:tr>
      <w:tr w:rsidR="002C144F" w:rsidTr="00D80EF7">
        <w:tc>
          <w:tcPr>
            <w:tcW w:w="895" w:type="dxa"/>
          </w:tcPr>
          <w:p w:rsidR="002C144F" w:rsidRDefault="002C144F" w:rsidP="00D80EF7">
            <w:pPr>
              <w:rPr>
                <w:b/>
              </w:rPr>
            </w:pPr>
          </w:p>
        </w:tc>
        <w:tc>
          <w:tcPr>
            <w:tcW w:w="7110" w:type="dxa"/>
          </w:tcPr>
          <w:p w:rsidR="002C144F" w:rsidRDefault="002C144F" w:rsidP="00D80EF7">
            <w:pPr>
              <w:rPr>
                <w:b/>
              </w:rPr>
            </w:pPr>
            <w:r>
              <w:rPr>
                <w:b/>
              </w:rPr>
              <w:t xml:space="preserve">Attorneys </w:t>
            </w:r>
          </w:p>
        </w:tc>
      </w:tr>
      <w:tr w:rsidR="002C144F" w:rsidTr="00D80EF7">
        <w:tc>
          <w:tcPr>
            <w:tcW w:w="895" w:type="dxa"/>
          </w:tcPr>
          <w:p w:rsidR="002C144F" w:rsidRDefault="002C144F" w:rsidP="00D80EF7">
            <w:pPr>
              <w:rPr>
                <w:b/>
              </w:rPr>
            </w:pPr>
          </w:p>
        </w:tc>
        <w:tc>
          <w:tcPr>
            <w:tcW w:w="7110" w:type="dxa"/>
          </w:tcPr>
          <w:p w:rsidR="002C144F" w:rsidRDefault="002C144F" w:rsidP="00D80EF7">
            <w:pPr>
              <w:rPr>
                <w:b/>
              </w:rPr>
            </w:pPr>
            <w:r>
              <w:rPr>
                <w:b/>
              </w:rPr>
              <w:t xml:space="preserve">Management, planners and supervisors </w:t>
            </w:r>
          </w:p>
        </w:tc>
      </w:tr>
      <w:tr w:rsidR="002C144F" w:rsidTr="00D80EF7">
        <w:tc>
          <w:tcPr>
            <w:tcW w:w="895" w:type="dxa"/>
          </w:tcPr>
          <w:p w:rsidR="002C144F" w:rsidRDefault="002C144F" w:rsidP="00D80EF7">
            <w:pPr>
              <w:rPr>
                <w:b/>
              </w:rPr>
            </w:pPr>
          </w:p>
        </w:tc>
        <w:tc>
          <w:tcPr>
            <w:tcW w:w="7110" w:type="dxa"/>
          </w:tcPr>
          <w:p w:rsidR="002C144F" w:rsidRDefault="002C144F" w:rsidP="00D80EF7">
            <w:pPr>
              <w:rPr>
                <w:b/>
              </w:rPr>
            </w:pPr>
            <w:r>
              <w:rPr>
                <w:b/>
              </w:rPr>
              <w:t xml:space="preserve">Policy advocates  </w:t>
            </w:r>
          </w:p>
        </w:tc>
      </w:tr>
      <w:tr w:rsidR="002C144F" w:rsidTr="00D80EF7">
        <w:tc>
          <w:tcPr>
            <w:tcW w:w="895" w:type="dxa"/>
          </w:tcPr>
          <w:p w:rsidR="002C144F" w:rsidRDefault="002C144F" w:rsidP="00D80EF7">
            <w:pPr>
              <w:rPr>
                <w:b/>
              </w:rPr>
            </w:pPr>
          </w:p>
        </w:tc>
        <w:tc>
          <w:tcPr>
            <w:tcW w:w="7110" w:type="dxa"/>
          </w:tcPr>
          <w:p w:rsidR="002C144F" w:rsidRDefault="002C144F" w:rsidP="00D80EF7">
            <w:pPr>
              <w:rPr>
                <w:b/>
              </w:rPr>
            </w:pPr>
            <w:r>
              <w:rPr>
                <w:b/>
              </w:rPr>
              <w:t xml:space="preserve">Non-attorneys </w:t>
            </w:r>
          </w:p>
        </w:tc>
      </w:tr>
      <w:tr w:rsidR="002C144F" w:rsidTr="00D80EF7">
        <w:tc>
          <w:tcPr>
            <w:tcW w:w="895" w:type="dxa"/>
          </w:tcPr>
          <w:p w:rsidR="002C144F" w:rsidRDefault="002C144F" w:rsidP="00D80EF7">
            <w:pPr>
              <w:rPr>
                <w:b/>
              </w:rPr>
            </w:pPr>
          </w:p>
        </w:tc>
        <w:tc>
          <w:tcPr>
            <w:tcW w:w="7110" w:type="dxa"/>
          </w:tcPr>
          <w:p w:rsidR="002C144F" w:rsidRDefault="002C144F" w:rsidP="00D80EF7">
            <w:pPr>
              <w:rPr>
                <w:b/>
              </w:rPr>
            </w:pPr>
            <w:r>
              <w:rPr>
                <w:b/>
              </w:rPr>
              <w:t xml:space="preserve">Legal services delivery, development, funding reporting and measurement </w:t>
            </w:r>
          </w:p>
        </w:tc>
      </w:tr>
      <w:tr w:rsidR="002C144F" w:rsidTr="00D80EF7">
        <w:tc>
          <w:tcPr>
            <w:tcW w:w="895" w:type="dxa"/>
          </w:tcPr>
          <w:p w:rsidR="002C144F" w:rsidRDefault="002C144F" w:rsidP="00D80EF7">
            <w:pPr>
              <w:rPr>
                <w:b/>
              </w:rPr>
            </w:pPr>
          </w:p>
        </w:tc>
        <w:tc>
          <w:tcPr>
            <w:tcW w:w="7110" w:type="dxa"/>
          </w:tcPr>
          <w:p w:rsidR="002C144F" w:rsidRDefault="002C144F" w:rsidP="00D80EF7">
            <w:pPr>
              <w:rPr>
                <w:b/>
              </w:rPr>
            </w:pPr>
            <w:r>
              <w:rPr>
                <w:b/>
              </w:rPr>
              <w:t xml:space="preserve">Interdisciplinary approaches to law and aging </w:t>
            </w:r>
          </w:p>
        </w:tc>
      </w:tr>
      <w:tr w:rsidR="002C144F" w:rsidTr="00D80EF7">
        <w:tc>
          <w:tcPr>
            <w:tcW w:w="895" w:type="dxa"/>
          </w:tcPr>
          <w:p w:rsidR="002C144F" w:rsidRDefault="002C144F" w:rsidP="00D80EF7">
            <w:pPr>
              <w:rPr>
                <w:b/>
              </w:rPr>
            </w:pPr>
          </w:p>
        </w:tc>
        <w:tc>
          <w:tcPr>
            <w:tcW w:w="7110" w:type="dxa"/>
          </w:tcPr>
          <w:p w:rsidR="002C144F" w:rsidRDefault="002C144F" w:rsidP="00D80EF7">
            <w:pPr>
              <w:rPr>
                <w:b/>
              </w:rPr>
            </w:pPr>
            <w:r>
              <w:rPr>
                <w:b/>
              </w:rPr>
              <w:t xml:space="preserve">Other – (please describe) </w:t>
            </w:r>
          </w:p>
        </w:tc>
      </w:tr>
      <w:tr w:rsidR="002C144F" w:rsidTr="00D80EF7">
        <w:tc>
          <w:tcPr>
            <w:tcW w:w="895" w:type="dxa"/>
          </w:tcPr>
          <w:p w:rsidR="002C144F" w:rsidRDefault="002C144F" w:rsidP="00D80EF7">
            <w:pPr>
              <w:rPr>
                <w:b/>
              </w:rPr>
            </w:pPr>
          </w:p>
        </w:tc>
        <w:tc>
          <w:tcPr>
            <w:tcW w:w="7110" w:type="dxa"/>
          </w:tcPr>
          <w:p w:rsidR="002C144F" w:rsidRDefault="002C144F" w:rsidP="00D80EF7">
            <w:pPr>
              <w:rPr>
                <w:b/>
              </w:rPr>
            </w:pPr>
          </w:p>
        </w:tc>
      </w:tr>
    </w:tbl>
    <w:p w:rsidR="002C144F" w:rsidRPr="00972842" w:rsidRDefault="002C144F" w:rsidP="002C144F">
      <w:pPr>
        <w:rPr>
          <w:b/>
        </w:rPr>
      </w:pPr>
    </w:p>
    <w:p w:rsidR="002C144F" w:rsidRPr="00972842" w:rsidRDefault="002C144F" w:rsidP="002C144F">
      <w:pPr>
        <w:rPr>
          <w:b/>
        </w:rPr>
      </w:pPr>
      <w:r w:rsidRPr="00972842">
        <w:rPr>
          <w:b/>
        </w:rPr>
        <w:t>Preferred time for the workshop (check only one – no guarantee can be made on time):</w:t>
      </w:r>
    </w:p>
    <w:p w:rsidR="002C144F" w:rsidRPr="00972842" w:rsidRDefault="002C144F" w:rsidP="002C144F">
      <w:pPr>
        <w:pStyle w:val="ListParagraph"/>
        <w:numPr>
          <w:ilvl w:val="0"/>
          <w:numId w:val="6"/>
        </w:numPr>
        <w:rPr>
          <w:b/>
        </w:rPr>
      </w:pPr>
      <w:r w:rsidRPr="00972842">
        <w:rPr>
          <w:b/>
        </w:rPr>
        <w:lastRenderedPageBreak/>
        <w:t>5 minutes (</w:t>
      </w:r>
      <w:r>
        <w:rPr>
          <w:b/>
        </w:rPr>
        <w:t xml:space="preserve">Lightening-Round </w:t>
      </w:r>
      <w:r w:rsidRPr="00972842">
        <w:rPr>
          <w:b/>
        </w:rPr>
        <w:t xml:space="preserve">Plenary Session)* </w:t>
      </w:r>
    </w:p>
    <w:p w:rsidR="002C144F" w:rsidRPr="00972842" w:rsidRDefault="002C144F" w:rsidP="002C144F">
      <w:pPr>
        <w:pStyle w:val="ListParagraph"/>
        <w:numPr>
          <w:ilvl w:val="0"/>
          <w:numId w:val="6"/>
        </w:numPr>
        <w:rPr>
          <w:b/>
        </w:rPr>
      </w:pPr>
      <w:r w:rsidRPr="00972842">
        <w:rPr>
          <w:b/>
        </w:rPr>
        <w:t xml:space="preserve">60 minutes </w:t>
      </w:r>
    </w:p>
    <w:p w:rsidR="002C144F" w:rsidRPr="00972842" w:rsidRDefault="002C144F" w:rsidP="002C144F">
      <w:pPr>
        <w:pStyle w:val="ListParagraph"/>
        <w:numPr>
          <w:ilvl w:val="0"/>
          <w:numId w:val="6"/>
        </w:numPr>
        <w:rPr>
          <w:b/>
        </w:rPr>
      </w:pPr>
      <w:r w:rsidRPr="00972842">
        <w:rPr>
          <w:b/>
        </w:rPr>
        <w:t xml:space="preserve">75 minutes </w:t>
      </w:r>
    </w:p>
    <w:p w:rsidR="002C144F" w:rsidRPr="00972842" w:rsidRDefault="002C144F" w:rsidP="002C144F">
      <w:pPr>
        <w:pStyle w:val="ListParagraph"/>
        <w:rPr>
          <w:b/>
        </w:rPr>
      </w:pPr>
    </w:p>
    <w:p w:rsidR="002C144F" w:rsidRPr="009D6783" w:rsidRDefault="002C144F" w:rsidP="002C144F">
      <w:pPr>
        <w:pStyle w:val="ListParagraph"/>
      </w:pPr>
      <w:r w:rsidRPr="009D6783">
        <w:t>*</w:t>
      </w:r>
      <w:r>
        <w:t>Lightening-Round</w:t>
      </w:r>
      <w:r w:rsidRPr="009D6783">
        <w:t xml:space="preserve"> Plenary – this is the</w:t>
      </w:r>
      <w:r>
        <w:t xml:space="preserve"> sixth </w:t>
      </w:r>
      <w:r w:rsidRPr="009D6783">
        <w:t xml:space="preserve">year for this high-energy session. </w:t>
      </w:r>
      <w:r>
        <w:t>The session will begin with a keynote speaker for up to 15 minutes, then feature up to 8</w:t>
      </w:r>
      <w:r w:rsidRPr="009D6783">
        <w:t xml:space="preserve"> speakers, with up 5 minutes each,</w:t>
      </w:r>
      <w:r>
        <w:t xml:space="preserve"> and close with a wrap up speaker with up to 15 minutes. The session is </w:t>
      </w:r>
      <w:r w:rsidRPr="009D6783">
        <w:t xml:space="preserve">8:30 to 9:45 on Friday morning. The speakers are charged with “Wowing the Audience” in five minutes or less on an important or emerging topic in law and aging. The speakers </w:t>
      </w:r>
      <w:r>
        <w:t>prepare</w:t>
      </w:r>
      <w:r w:rsidRPr="009D6783">
        <w:t xml:space="preserve"> a short (1-10 slide) </w:t>
      </w:r>
      <w:r w:rsidRPr="00972842">
        <w:t>PowerPoint</w:t>
      </w:r>
      <w:r w:rsidRPr="009D6783">
        <w:t xml:space="preserve"> presentation</w:t>
      </w:r>
      <w:r>
        <w:t xml:space="preserve"> due no later than October 18</w:t>
      </w:r>
      <w:r w:rsidRPr="0019156F">
        <w:rPr>
          <w:vertAlign w:val="superscript"/>
        </w:rPr>
        <w:t>th</w:t>
      </w:r>
      <w:r w:rsidRPr="009D6783">
        <w:t xml:space="preserve">, and </w:t>
      </w:r>
      <w:r>
        <w:t>must</w:t>
      </w:r>
      <w:r w:rsidRPr="009D6783">
        <w:t xml:space="preserve"> submit one or more pages of written materials describing the issue they are talking about</w:t>
      </w:r>
      <w:r>
        <w:t xml:space="preserve"> by the August 18</w:t>
      </w:r>
      <w:r w:rsidRPr="0019156F">
        <w:rPr>
          <w:vertAlign w:val="superscript"/>
        </w:rPr>
        <w:t>th</w:t>
      </w:r>
      <w:r>
        <w:t xml:space="preserve"> written materials deadline</w:t>
      </w:r>
      <w:r w:rsidRPr="009D6783">
        <w:t xml:space="preserve">. </w:t>
      </w:r>
    </w:p>
    <w:p w:rsidR="002C144F" w:rsidRDefault="002C144F" w:rsidP="002C144F">
      <w:pPr>
        <w:rPr>
          <w:b/>
        </w:rPr>
      </w:pPr>
      <w:r w:rsidRPr="00972842">
        <w:rPr>
          <w:b/>
        </w:rPr>
        <w:t xml:space="preserve">What kinds of written materials do you plan to use? </w:t>
      </w:r>
    </w:p>
    <w:p w:rsidR="002C144F" w:rsidRPr="00972842" w:rsidRDefault="002C144F" w:rsidP="002C144F"/>
    <w:p w:rsidR="002C144F" w:rsidRPr="00972842" w:rsidRDefault="002C144F" w:rsidP="002C144F">
      <w:pPr>
        <w:tabs>
          <w:tab w:val="left" w:pos="360"/>
        </w:tabs>
        <w:spacing w:after="0" w:line="240" w:lineRule="auto"/>
        <w:rPr>
          <w:rFonts w:cs="Cambria"/>
          <w:b/>
        </w:rPr>
      </w:pPr>
      <w:r w:rsidRPr="00972842">
        <w:rPr>
          <w:rFonts w:cs="Cambria"/>
          <w:b/>
        </w:rPr>
        <w:t>A preference will be given to proposals that use interactive “learn-by-doing” components to actively involve attendees in the workshop. Examples of interactive learning are:</w:t>
      </w:r>
    </w:p>
    <w:p w:rsidR="002C144F" w:rsidRPr="00972842" w:rsidRDefault="002C144F" w:rsidP="002C144F">
      <w:pPr>
        <w:spacing w:after="0" w:line="240" w:lineRule="auto"/>
        <w:jc w:val="both"/>
        <w:rPr>
          <w:rFonts w:cs="Cambria"/>
          <w:b/>
        </w:rPr>
      </w:pPr>
    </w:p>
    <w:tbl>
      <w:tblPr>
        <w:tblW w:w="4276" w:type="pct"/>
        <w:tblInd w:w="-10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
      <w:tblGrid>
        <w:gridCol w:w="3781"/>
        <w:gridCol w:w="4219"/>
      </w:tblGrid>
      <w:tr w:rsidR="002C144F" w:rsidRPr="00972842" w:rsidTr="00D80EF7">
        <w:trPr>
          <w:trHeight w:val="508"/>
        </w:trPr>
        <w:tc>
          <w:tcPr>
            <w:tcW w:w="2363" w:type="pct"/>
            <w:vAlign w:val="center"/>
          </w:tcPr>
          <w:p w:rsidR="002C144F" w:rsidRPr="00972842" w:rsidRDefault="002C144F" w:rsidP="00D80EF7">
            <w:pPr>
              <w:pStyle w:val="ListParagraph"/>
              <w:numPr>
                <w:ilvl w:val="0"/>
                <w:numId w:val="5"/>
              </w:numPr>
              <w:spacing w:after="0" w:line="240" w:lineRule="auto"/>
              <w:contextualSpacing w:val="0"/>
              <w:rPr>
                <w:rFonts w:cs="Cambria"/>
              </w:rPr>
            </w:pPr>
            <w:r w:rsidRPr="00972842">
              <w:rPr>
                <w:rFonts w:cs="Cambria"/>
              </w:rPr>
              <w:t>Case studies</w:t>
            </w:r>
          </w:p>
        </w:tc>
        <w:tc>
          <w:tcPr>
            <w:tcW w:w="2637" w:type="pct"/>
            <w:vAlign w:val="center"/>
          </w:tcPr>
          <w:p w:rsidR="002C144F" w:rsidRPr="00972842" w:rsidRDefault="002C144F" w:rsidP="00D80EF7">
            <w:pPr>
              <w:pStyle w:val="ListParagraph"/>
              <w:numPr>
                <w:ilvl w:val="0"/>
                <w:numId w:val="5"/>
              </w:numPr>
              <w:spacing w:after="0" w:line="240" w:lineRule="auto"/>
              <w:contextualSpacing w:val="0"/>
              <w:rPr>
                <w:rFonts w:cs="Cambria"/>
              </w:rPr>
            </w:pPr>
            <w:r w:rsidRPr="00972842">
              <w:rPr>
                <w:rFonts w:cs="Cambria"/>
              </w:rPr>
              <w:t>Role play</w:t>
            </w:r>
          </w:p>
        </w:tc>
      </w:tr>
      <w:tr w:rsidR="002C144F" w:rsidRPr="00972842" w:rsidTr="00D80EF7">
        <w:trPr>
          <w:trHeight w:val="535"/>
        </w:trPr>
        <w:tc>
          <w:tcPr>
            <w:tcW w:w="2363" w:type="pct"/>
            <w:vAlign w:val="center"/>
          </w:tcPr>
          <w:p w:rsidR="002C144F" w:rsidRPr="00972842" w:rsidRDefault="002C144F" w:rsidP="00D80EF7">
            <w:pPr>
              <w:pStyle w:val="ListParagraph"/>
              <w:numPr>
                <w:ilvl w:val="0"/>
                <w:numId w:val="5"/>
              </w:numPr>
              <w:spacing w:after="0" w:line="240" w:lineRule="auto"/>
              <w:contextualSpacing w:val="0"/>
              <w:rPr>
                <w:rFonts w:cs="Cambria"/>
              </w:rPr>
            </w:pPr>
            <w:r w:rsidRPr="00972842">
              <w:rPr>
                <w:rFonts w:cs="Cambria"/>
              </w:rPr>
              <w:t xml:space="preserve">Game show formats </w:t>
            </w:r>
          </w:p>
        </w:tc>
        <w:tc>
          <w:tcPr>
            <w:tcW w:w="2637" w:type="pct"/>
            <w:vAlign w:val="center"/>
          </w:tcPr>
          <w:p w:rsidR="002C144F" w:rsidRPr="00972842" w:rsidRDefault="002C144F" w:rsidP="00D80EF7">
            <w:pPr>
              <w:pStyle w:val="ListParagraph"/>
              <w:numPr>
                <w:ilvl w:val="0"/>
                <w:numId w:val="5"/>
              </w:numPr>
              <w:spacing w:after="0" w:line="240" w:lineRule="auto"/>
              <w:contextualSpacing w:val="0"/>
              <w:rPr>
                <w:rFonts w:cs="Cambria"/>
              </w:rPr>
            </w:pPr>
            <w:r w:rsidRPr="00972842">
              <w:rPr>
                <w:rFonts w:cs="Cambria"/>
              </w:rPr>
              <w:t>Break-out group discussions</w:t>
            </w:r>
          </w:p>
        </w:tc>
      </w:tr>
      <w:tr w:rsidR="002C144F" w:rsidRPr="00972842" w:rsidTr="00D80EF7">
        <w:trPr>
          <w:trHeight w:val="454"/>
        </w:trPr>
        <w:tc>
          <w:tcPr>
            <w:tcW w:w="2363" w:type="pct"/>
            <w:vAlign w:val="center"/>
          </w:tcPr>
          <w:p w:rsidR="002C144F" w:rsidRPr="00972842" w:rsidRDefault="002C144F" w:rsidP="00D80EF7">
            <w:pPr>
              <w:pStyle w:val="ListParagraph"/>
              <w:numPr>
                <w:ilvl w:val="0"/>
                <w:numId w:val="5"/>
              </w:numPr>
              <w:spacing w:after="0" w:line="240" w:lineRule="auto"/>
              <w:contextualSpacing w:val="0"/>
              <w:rPr>
                <w:rFonts w:cs="Cambria"/>
              </w:rPr>
            </w:pPr>
            <w:r w:rsidRPr="00972842">
              <w:rPr>
                <w:rFonts w:cs="Cambria"/>
              </w:rPr>
              <w:t xml:space="preserve">Use of audience polling </w:t>
            </w:r>
          </w:p>
        </w:tc>
        <w:tc>
          <w:tcPr>
            <w:tcW w:w="2637" w:type="pct"/>
            <w:vAlign w:val="center"/>
          </w:tcPr>
          <w:p w:rsidR="002C144F" w:rsidRPr="00972842" w:rsidRDefault="002C144F" w:rsidP="00D80EF7">
            <w:pPr>
              <w:pStyle w:val="ListParagraph"/>
              <w:numPr>
                <w:ilvl w:val="0"/>
                <w:numId w:val="5"/>
              </w:numPr>
              <w:spacing w:after="0" w:line="240" w:lineRule="auto"/>
              <w:contextualSpacing w:val="0"/>
              <w:rPr>
                <w:rFonts w:cs="Cambria"/>
              </w:rPr>
            </w:pPr>
            <w:r w:rsidRPr="00972842">
              <w:rPr>
                <w:rFonts w:cs="Cambria"/>
              </w:rPr>
              <w:t>Brainstorming</w:t>
            </w:r>
            <w:r w:rsidRPr="00972842">
              <w:rPr>
                <w:rFonts w:cs="Cambria"/>
              </w:rPr>
              <w:tab/>
            </w:r>
          </w:p>
        </w:tc>
      </w:tr>
      <w:tr w:rsidR="002C144F" w:rsidRPr="00972842" w:rsidTr="00D80EF7">
        <w:trPr>
          <w:trHeight w:val="544"/>
        </w:trPr>
        <w:tc>
          <w:tcPr>
            <w:tcW w:w="2363" w:type="pct"/>
            <w:vAlign w:val="center"/>
          </w:tcPr>
          <w:p w:rsidR="002C144F" w:rsidRPr="00972842" w:rsidRDefault="002C144F" w:rsidP="00D80EF7">
            <w:pPr>
              <w:pStyle w:val="ListParagraph"/>
              <w:numPr>
                <w:ilvl w:val="0"/>
                <w:numId w:val="5"/>
              </w:numPr>
              <w:spacing w:after="0" w:line="240" w:lineRule="auto"/>
              <w:contextualSpacing w:val="0"/>
              <w:rPr>
                <w:rFonts w:cs="Cambria"/>
              </w:rPr>
            </w:pPr>
            <w:r w:rsidRPr="00972842">
              <w:rPr>
                <w:rFonts w:cs="Cambria"/>
              </w:rPr>
              <w:t>Quizzes</w:t>
            </w:r>
          </w:p>
        </w:tc>
        <w:tc>
          <w:tcPr>
            <w:tcW w:w="2637" w:type="pct"/>
            <w:vAlign w:val="center"/>
          </w:tcPr>
          <w:p w:rsidR="002C144F" w:rsidRPr="00972842" w:rsidRDefault="002C144F" w:rsidP="00D80EF7">
            <w:pPr>
              <w:pStyle w:val="ListParagraph"/>
              <w:numPr>
                <w:ilvl w:val="0"/>
                <w:numId w:val="5"/>
              </w:numPr>
              <w:spacing w:after="0" w:line="240" w:lineRule="auto"/>
              <w:contextualSpacing w:val="0"/>
              <w:rPr>
                <w:rFonts w:cs="Cambria"/>
              </w:rPr>
            </w:pPr>
            <w:r w:rsidRPr="00972842">
              <w:rPr>
                <w:rFonts w:cs="Cambria"/>
              </w:rPr>
              <w:t>Small group activities</w:t>
            </w:r>
          </w:p>
        </w:tc>
      </w:tr>
      <w:tr w:rsidR="002C144F" w:rsidRPr="00972842" w:rsidTr="00D80EF7">
        <w:trPr>
          <w:trHeight w:val="526"/>
        </w:trPr>
        <w:tc>
          <w:tcPr>
            <w:tcW w:w="2363" w:type="pct"/>
            <w:vAlign w:val="center"/>
          </w:tcPr>
          <w:p w:rsidR="002C144F" w:rsidRPr="00972842" w:rsidRDefault="002C144F" w:rsidP="00D80EF7">
            <w:pPr>
              <w:pStyle w:val="ListParagraph"/>
              <w:numPr>
                <w:ilvl w:val="0"/>
                <w:numId w:val="5"/>
              </w:numPr>
              <w:spacing w:after="0" w:line="240" w:lineRule="auto"/>
              <w:contextualSpacing w:val="0"/>
              <w:rPr>
                <w:rFonts w:cs="Cambria"/>
              </w:rPr>
            </w:pPr>
            <w:r w:rsidRPr="00972842">
              <w:rPr>
                <w:rFonts w:cs="Cambria"/>
              </w:rPr>
              <w:t>Moot court</w:t>
            </w:r>
          </w:p>
        </w:tc>
        <w:tc>
          <w:tcPr>
            <w:tcW w:w="2637" w:type="pct"/>
            <w:vAlign w:val="center"/>
          </w:tcPr>
          <w:p w:rsidR="002C144F" w:rsidRPr="00972842" w:rsidRDefault="002C144F" w:rsidP="00D80EF7">
            <w:pPr>
              <w:pStyle w:val="ListParagraph"/>
              <w:numPr>
                <w:ilvl w:val="0"/>
                <w:numId w:val="5"/>
              </w:numPr>
              <w:spacing w:after="0" w:line="240" w:lineRule="auto"/>
              <w:contextualSpacing w:val="0"/>
              <w:rPr>
                <w:rFonts w:cs="Cambria"/>
              </w:rPr>
            </w:pPr>
            <w:r w:rsidRPr="00972842">
              <w:rPr>
                <w:rFonts w:cs="Cambria"/>
              </w:rPr>
              <w:t>Video vignettes</w:t>
            </w:r>
          </w:p>
        </w:tc>
      </w:tr>
      <w:tr w:rsidR="002C144F" w:rsidRPr="00972842" w:rsidTr="00D80EF7">
        <w:trPr>
          <w:trHeight w:val="526"/>
        </w:trPr>
        <w:tc>
          <w:tcPr>
            <w:tcW w:w="2363" w:type="pct"/>
            <w:vAlign w:val="center"/>
          </w:tcPr>
          <w:p w:rsidR="002C144F" w:rsidRPr="00972842" w:rsidRDefault="002C144F" w:rsidP="00D80EF7">
            <w:pPr>
              <w:pStyle w:val="ListParagraph"/>
              <w:numPr>
                <w:ilvl w:val="0"/>
                <w:numId w:val="5"/>
              </w:numPr>
              <w:spacing w:after="0" w:line="240" w:lineRule="auto"/>
              <w:contextualSpacing w:val="0"/>
              <w:rPr>
                <w:rFonts w:cs="Cambria"/>
              </w:rPr>
            </w:pPr>
            <w:r w:rsidRPr="00972842">
              <w:rPr>
                <w:rFonts w:cs="Cambria"/>
              </w:rPr>
              <w:t>Document drafting exercises</w:t>
            </w:r>
          </w:p>
        </w:tc>
        <w:tc>
          <w:tcPr>
            <w:tcW w:w="2637" w:type="pct"/>
            <w:vAlign w:val="center"/>
          </w:tcPr>
          <w:p w:rsidR="002C144F" w:rsidRPr="00972842" w:rsidRDefault="002C144F" w:rsidP="00D80EF7">
            <w:pPr>
              <w:pStyle w:val="ListParagraph"/>
              <w:numPr>
                <w:ilvl w:val="0"/>
                <w:numId w:val="5"/>
              </w:numPr>
              <w:spacing w:after="0" w:line="240" w:lineRule="auto"/>
              <w:contextualSpacing w:val="0"/>
              <w:rPr>
                <w:rFonts w:cs="Cambria"/>
              </w:rPr>
            </w:pPr>
            <w:r w:rsidRPr="00972842">
              <w:rPr>
                <w:rFonts w:cs="Cambria"/>
              </w:rPr>
              <w:t>Other creative methods</w:t>
            </w:r>
          </w:p>
        </w:tc>
      </w:tr>
    </w:tbl>
    <w:p w:rsidR="002C144F" w:rsidRPr="00972842" w:rsidRDefault="002C144F" w:rsidP="002C144F">
      <w:pPr>
        <w:spacing w:after="0" w:line="240" w:lineRule="auto"/>
        <w:rPr>
          <w:rFonts w:cs="Cambria"/>
          <w:b/>
          <w:bCs/>
        </w:rPr>
      </w:pPr>
    </w:p>
    <w:p w:rsidR="002C144F" w:rsidRPr="00972842" w:rsidRDefault="002C144F" w:rsidP="002C144F">
      <w:pPr>
        <w:rPr>
          <w:b/>
        </w:rPr>
      </w:pPr>
      <w:r w:rsidRPr="00972842">
        <w:rPr>
          <w:b/>
        </w:rPr>
        <w:t xml:space="preserve">How will this session use “learning-by-doing?” </w:t>
      </w:r>
    </w:p>
    <w:p w:rsidR="002C144F" w:rsidRDefault="002C144F" w:rsidP="002C144F"/>
    <w:p w:rsidR="002C144F" w:rsidRDefault="002C144F" w:rsidP="002C144F"/>
    <w:p w:rsidR="002C144F" w:rsidRDefault="002C144F" w:rsidP="002C144F">
      <w:pPr>
        <w:jc w:val="center"/>
        <w:rPr>
          <w:b/>
          <w:sz w:val="28"/>
          <w:szCs w:val="28"/>
        </w:rPr>
      </w:pPr>
      <w:r>
        <w:rPr>
          <w:b/>
          <w:sz w:val="28"/>
          <w:szCs w:val="28"/>
        </w:rPr>
        <w:t>New This Year</w:t>
      </w:r>
    </w:p>
    <w:p w:rsidR="002C144F" w:rsidRDefault="002C144F" w:rsidP="002C144F">
      <w:pPr>
        <w:jc w:val="center"/>
        <w:rPr>
          <w:b/>
          <w:sz w:val="28"/>
          <w:szCs w:val="28"/>
        </w:rPr>
      </w:pPr>
      <w:r>
        <w:rPr>
          <w:b/>
          <w:sz w:val="28"/>
          <w:szCs w:val="28"/>
        </w:rPr>
        <w:t>Speaker Diversity Policy</w:t>
      </w:r>
    </w:p>
    <w:p w:rsidR="002C144F" w:rsidRPr="0019156F" w:rsidRDefault="002C144F" w:rsidP="002C144F">
      <w:pPr>
        <w:jc w:val="center"/>
        <w:rPr>
          <w:b/>
          <w:sz w:val="28"/>
          <w:szCs w:val="28"/>
        </w:rPr>
      </w:pPr>
      <w:r>
        <w:rPr>
          <w:b/>
          <w:sz w:val="28"/>
          <w:szCs w:val="28"/>
        </w:rPr>
        <w:t xml:space="preserve">The ABA Is Committed to Diversity in the Profession as One of Our Core Goals. </w:t>
      </w:r>
    </w:p>
    <w:p w:rsidR="002C144F" w:rsidRPr="0019156F" w:rsidRDefault="002C144F" w:rsidP="002C144F">
      <w:pPr>
        <w:rPr>
          <w:b/>
          <w:bCs/>
        </w:rPr>
      </w:pPr>
      <w:r w:rsidRPr="0019156F">
        <w:rPr>
          <w:b/>
          <w:bCs/>
        </w:rPr>
        <w:t>CLE Diversity Policy (as Approved by the ABA Board of Governors on June 11, 2016)</w:t>
      </w:r>
    </w:p>
    <w:p w:rsidR="002C144F" w:rsidRPr="0019156F" w:rsidRDefault="002C144F" w:rsidP="002C144F">
      <w:pPr>
        <w:rPr>
          <w:i/>
          <w:iCs/>
        </w:rPr>
      </w:pPr>
      <w:r w:rsidRPr="0019156F">
        <w:rPr>
          <w:i/>
          <w:iCs/>
        </w:rPr>
        <w:lastRenderedPageBreak/>
        <w:t>The ABA expects all CLE programs sponsored or co-sponsored by the ABA to meet the aspirations of</w:t>
      </w:r>
    </w:p>
    <w:p w:rsidR="002C144F" w:rsidRPr="0019156F" w:rsidRDefault="002C144F" w:rsidP="002C144F">
      <w:pPr>
        <w:rPr>
          <w:i/>
          <w:iCs/>
        </w:rPr>
      </w:pPr>
      <w:r w:rsidRPr="0019156F">
        <w:rPr>
          <w:i/>
          <w:iCs/>
        </w:rPr>
        <w:t>Goal III by having the faculty include members of diverse groups as defined by Goal III (race, ethnicity,</w:t>
      </w:r>
    </w:p>
    <w:p w:rsidR="002C144F" w:rsidRPr="00D46190" w:rsidRDefault="002C144F" w:rsidP="002C144F">
      <w:pPr>
        <w:rPr>
          <w:i/>
          <w:iCs/>
        </w:rPr>
      </w:pPr>
      <w:r w:rsidRPr="0019156F">
        <w:rPr>
          <w:i/>
          <w:iCs/>
        </w:rPr>
        <w:t xml:space="preserve">gender, sexual orientation, gender identity, and disability). This policy applies to </w:t>
      </w:r>
      <w:r>
        <w:rPr>
          <w:i/>
          <w:iCs/>
        </w:rPr>
        <w:t xml:space="preserve">all sessions or </w:t>
      </w:r>
      <w:r w:rsidRPr="0019156F">
        <w:rPr>
          <w:i/>
          <w:iCs/>
        </w:rPr>
        <w:t>individual CLE</w:t>
      </w:r>
      <w:r>
        <w:rPr>
          <w:i/>
          <w:iCs/>
        </w:rPr>
        <w:t xml:space="preserve"> </w:t>
      </w:r>
      <w:r w:rsidRPr="0019156F">
        <w:rPr>
          <w:i/>
          <w:iCs/>
        </w:rPr>
        <w:t>programs whose faculty consists of three or more panel participants, including the moderator. Individual</w:t>
      </w:r>
      <w:r>
        <w:rPr>
          <w:i/>
          <w:iCs/>
        </w:rPr>
        <w:t xml:space="preserve"> </w:t>
      </w:r>
      <w:r w:rsidRPr="0019156F">
        <w:rPr>
          <w:i/>
          <w:iCs/>
        </w:rPr>
        <w:t>programs with faculty of three or four panel participants, including the moderator, will require at least 1</w:t>
      </w:r>
      <w:r>
        <w:rPr>
          <w:i/>
          <w:iCs/>
        </w:rPr>
        <w:t xml:space="preserve"> </w:t>
      </w:r>
      <w:r w:rsidRPr="0019156F">
        <w:rPr>
          <w:i/>
          <w:iCs/>
        </w:rPr>
        <w:t>diverse member; individual programs with faculty of five to eight panel participants, including the</w:t>
      </w:r>
      <w:r>
        <w:rPr>
          <w:i/>
          <w:iCs/>
        </w:rPr>
        <w:t xml:space="preserve"> </w:t>
      </w:r>
      <w:r w:rsidRPr="0019156F">
        <w:rPr>
          <w:i/>
          <w:iCs/>
        </w:rPr>
        <w:t>moderator, will require at least 2 diverse members; and individual programs with faculty of nine or more</w:t>
      </w:r>
      <w:r>
        <w:rPr>
          <w:i/>
          <w:iCs/>
        </w:rPr>
        <w:t xml:space="preserve"> </w:t>
      </w:r>
      <w:r w:rsidRPr="0019156F">
        <w:rPr>
          <w:i/>
          <w:iCs/>
        </w:rPr>
        <w:t>panel participants, including the moderator, will require at least 3 diverse members. The ABA will not</w:t>
      </w:r>
      <w:r>
        <w:rPr>
          <w:i/>
          <w:iCs/>
        </w:rPr>
        <w:t xml:space="preserve"> </w:t>
      </w:r>
      <w:r w:rsidRPr="0019156F">
        <w:rPr>
          <w:i/>
          <w:iCs/>
        </w:rPr>
        <w:t>sponsor, co-sponsor, or seek CLE accreditation for any program failing to comply with this policy unless</w:t>
      </w:r>
      <w:r>
        <w:rPr>
          <w:i/>
          <w:iCs/>
        </w:rPr>
        <w:t xml:space="preserve"> </w:t>
      </w:r>
      <w:r w:rsidRPr="0019156F">
        <w:rPr>
          <w:i/>
          <w:iCs/>
        </w:rPr>
        <w:t xml:space="preserve">an exception or appeal is granted. </w:t>
      </w:r>
    </w:p>
    <w:p w:rsidR="002C144F" w:rsidRPr="00D46190" w:rsidRDefault="002C144F" w:rsidP="002C144F">
      <w:pPr>
        <w:rPr>
          <w:b/>
        </w:rPr>
      </w:pPr>
      <w:r>
        <w:rPr>
          <w:b/>
          <w:iCs/>
        </w:rPr>
        <w:t xml:space="preserve">Not all diversity is obvious (disability, LGBTQ), and the planners do not know all of the proposed speakers. So, we need your help. </w:t>
      </w:r>
      <w:r w:rsidRPr="00D46190">
        <w:rPr>
          <w:b/>
          <w:iCs/>
        </w:rPr>
        <w:t xml:space="preserve">If your proposal has three or more speakers, please confirm that your speakers meet the diversity standards described above by filling in yes on the line below. Please do not identify the diversity of any speaker, this information is personal and confidential and the RFP process is not sufficiently secure to collect and store that information.  </w:t>
      </w:r>
    </w:p>
    <w:p w:rsidR="002C144F" w:rsidRPr="00D46190" w:rsidRDefault="002C144F" w:rsidP="002C144F">
      <w:pPr>
        <w:rPr>
          <w:b/>
        </w:rPr>
      </w:pPr>
      <w:r w:rsidRPr="00D46190">
        <w:rPr>
          <w:b/>
        </w:rPr>
        <w:t xml:space="preserve">I confirm that the proposed panel of speakers below meets or exceeds the ABA diversity standard described above ________ (fill in yes or no.)  </w:t>
      </w:r>
    </w:p>
    <w:p w:rsidR="002C144F" w:rsidRDefault="002C144F" w:rsidP="002C144F">
      <w:r>
        <w:t xml:space="preserve">If you have questions about the diversity policy, please email </w:t>
      </w:r>
      <w:hyperlink r:id="rId9" w:history="1">
        <w:r w:rsidRPr="00D14120">
          <w:rPr>
            <w:rStyle w:val="Hyperlink"/>
          </w:rPr>
          <w:t>David.Godfrey@Americanbar.org</w:t>
        </w:r>
      </w:hyperlink>
      <w:r>
        <w:t xml:space="preserve"> </w:t>
      </w:r>
    </w:p>
    <w:p w:rsidR="002C144F" w:rsidRPr="00972842" w:rsidRDefault="002C144F" w:rsidP="002C144F">
      <w:pPr>
        <w:jc w:val="center"/>
        <w:rPr>
          <w:b/>
          <w:sz w:val="32"/>
          <w:szCs w:val="32"/>
        </w:rPr>
      </w:pPr>
      <w:r w:rsidRPr="00972842">
        <w:rPr>
          <w:b/>
          <w:sz w:val="32"/>
          <w:szCs w:val="32"/>
        </w:rPr>
        <w:t>About the Speakers</w:t>
      </w:r>
    </w:p>
    <w:p w:rsidR="002C144F" w:rsidRPr="009D6783" w:rsidRDefault="002C144F" w:rsidP="002C144F">
      <w:pPr>
        <w:rPr>
          <w:b/>
        </w:rPr>
      </w:pPr>
      <w:r w:rsidRPr="009D6783">
        <w:rPr>
          <w:b/>
          <w:u w:val="single"/>
        </w:rPr>
        <w:t>Please include brief bios for all speakers</w:t>
      </w:r>
      <w:r w:rsidRPr="009D6783">
        <w:rPr>
          <w:b/>
        </w:rPr>
        <w:t xml:space="preserve">. </w:t>
      </w:r>
    </w:p>
    <w:p w:rsidR="002C144F" w:rsidRPr="009D6783" w:rsidRDefault="002C144F" w:rsidP="002C144F">
      <w:r w:rsidRPr="009D6783">
        <w:rPr>
          <w:b/>
          <w:u w:val="single"/>
        </w:rPr>
        <w:t xml:space="preserve">Proposals with only one speaker will only be considered for the </w:t>
      </w:r>
      <w:r>
        <w:rPr>
          <w:b/>
          <w:u w:val="single"/>
        </w:rPr>
        <w:t xml:space="preserve">Lightening-Round </w:t>
      </w:r>
      <w:r w:rsidRPr="009D6783">
        <w:rPr>
          <w:b/>
          <w:u w:val="single"/>
        </w:rPr>
        <w:t>Plenary session</w:t>
      </w:r>
      <w:r w:rsidRPr="009D6783">
        <w:rPr>
          <w:b/>
        </w:rPr>
        <w:t xml:space="preserve">. </w:t>
      </w:r>
      <w:r w:rsidRPr="009D6783">
        <w:t>(Note for CLE accreditation, at least one speaker on each panel must be licensed to practice law in the USA</w:t>
      </w:r>
      <w:r>
        <w:t xml:space="preserve"> – if you need help a</w:t>
      </w:r>
      <w:bookmarkStart w:id="0" w:name="_GoBack"/>
      <w:bookmarkEnd w:id="0"/>
      <w:r>
        <w:t>dding a lawyer to your panel, email David.Godfrey@Americanbar.org</w:t>
      </w:r>
      <w:r w:rsidRPr="009D6783">
        <w:t xml:space="preserve">.) </w:t>
      </w:r>
    </w:p>
    <w:p w:rsidR="002C144F" w:rsidRPr="00B40602" w:rsidRDefault="002C144F" w:rsidP="002C144F">
      <w:pPr>
        <w:rPr>
          <w:b/>
          <w:u w:val="single"/>
        </w:rPr>
      </w:pPr>
      <w:r>
        <w:rPr>
          <w:b/>
          <w:u w:val="single"/>
        </w:rPr>
        <w:t xml:space="preserve">The lead presenter is responsible for informing all speakers of the obligation to register for the conference and pay. Please do this prior to submitting your proposal.  </w:t>
      </w:r>
    </w:p>
    <w:p w:rsidR="002C144F" w:rsidRDefault="002C144F" w:rsidP="002C144F"/>
    <w:p w:rsidR="002C144F" w:rsidRPr="00972842" w:rsidRDefault="002C144F" w:rsidP="002C144F">
      <w:r w:rsidRPr="002C144F">
        <w:rPr>
          <w:b/>
        </w:rPr>
        <w:t>Lead Presenter</w:t>
      </w:r>
      <w:r w:rsidRPr="00972842">
        <w:t>:</w:t>
      </w:r>
    </w:p>
    <w:p w:rsidR="002C144F" w:rsidRPr="00972842" w:rsidRDefault="002C144F" w:rsidP="002C144F">
      <w:r w:rsidRPr="00972842">
        <w:t xml:space="preserve">Name: </w:t>
      </w:r>
    </w:p>
    <w:p w:rsidR="002C144F" w:rsidRPr="00972842" w:rsidRDefault="002C144F" w:rsidP="002C144F">
      <w:r w:rsidRPr="00972842">
        <w:t>Title:</w:t>
      </w:r>
    </w:p>
    <w:p w:rsidR="002C144F" w:rsidRPr="00972842" w:rsidRDefault="002C144F" w:rsidP="002C144F">
      <w:r w:rsidRPr="00972842">
        <w:t xml:space="preserve">Organization: </w:t>
      </w:r>
    </w:p>
    <w:p w:rsidR="002C144F" w:rsidRPr="00972842" w:rsidRDefault="002C144F" w:rsidP="002C144F">
      <w:r w:rsidRPr="00972842">
        <w:t xml:space="preserve">Address: </w:t>
      </w:r>
    </w:p>
    <w:p w:rsidR="002C144F" w:rsidRPr="00972842" w:rsidRDefault="002C144F" w:rsidP="002C144F">
      <w:r w:rsidRPr="00972842">
        <w:lastRenderedPageBreak/>
        <w:t xml:space="preserve">Phone: </w:t>
      </w:r>
    </w:p>
    <w:p w:rsidR="002C144F" w:rsidRPr="00972842" w:rsidRDefault="002C144F" w:rsidP="002C144F">
      <w:r w:rsidRPr="00972842">
        <w:t xml:space="preserve">Email: </w:t>
      </w:r>
    </w:p>
    <w:p w:rsidR="002C144F" w:rsidRPr="00972842" w:rsidRDefault="002C144F" w:rsidP="002C144F">
      <w:r w:rsidRPr="00972842">
        <w:t xml:space="preserve">Other contact information: </w:t>
      </w:r>
    </w:p>
    <w:p w:rsidR="002C144F" w:rsidRPr="00972842" w:rsidRDefault="002C144F" w:rsidP="002C144F">
      <w:r w:rsidRPr="00972842">
        <w:t xml:space="preserve">Any known schedule conflicts: </w:t>
      </w:r>
    </w:p>
    <w:p w:rsidR="002C144F" w:rsidRPr="00972842" w:rsidRDefault="002C144F" w:rsidP="002C144F">
      <w:r w:rsidRPr="00972842">
        <w:t xml:space="preserve">Bio: </w:t>
      </w:r>
    </w:p>
    <w:p w:rsidR="002C144F" w:rsidRDefault="002C144F" w:rsidP="002C144F">
      <w:pPr>
        <w:rPr>
          <w:b/>
        </w:rPr>
      </w:pPr>
    </w:p>
    <w:p w:rsidR="002C144F" w:rsidRPr="009D6783" w:rsidRDefault="002C144F" w:rsidP="002C144F">
      <w:pPr>
        <w:rPr>
          <w:b/>
        </w:rPr>
      </w:pPr>
      <w:r w:rsidRPr="009D6783">
        <w:rPr>
          <w:b/>
        </w:rPr>
        <w:t>Additional Speakers:</w:t>
      </w:r>
    </w:p>
    <w:p w:rsidR="002C144F" w:rsidRPr="00972842" w:rsidRDefault="002C144F" w:rsidP="002C144F">
      <w:r w:rsidRPr="00972842">
        <w:t xml:space="preserve">Name: </w:t>
      </w:r>
    </w:p>
    <w:p w:rsidR="002C144F" w:rsidRPr="00972842" w:rsidRDefault="002C144F" w:rsidP="002C144F">
      <w:r w:rsidRPr="00972842">
        <w:t>Title:</w:t>
      </w:r>
    </w:p>
    <w:p w:rsidR="002C144F" w:rsidRPr="00972842" w:rsidRDefault="002C144F" w:rsidP="002C144F">
      <w:r w:rsidRPr="00972842">
        <w:t xml:space="preserve">Organization: </w:t>
      </w:r>
    </w:p>
    <w:p w:rsidR="002C144F" w:rsidRPr="00972842" w:rsidRDefault="002C144F" w:rsidP="002C144F">
      <w:r w:rsidRPr="00972842">
        <w:t xml:space="preserve">Address: </w:t>
      </w:r>
    </w:p>
    <w:p w:rsidR="002C144F" w:rsidRPr="00972842" w:rsidRDefault="002C144F" w:rsidP="002C144F">
      <w:r w:rsidRPr="00972842">
        <w:t xml:space="preserve">Phone: </w:t>
      </w:r>
    </w:p>
    <w:p w:rsidR="002C144F" w:rsidRPr="00972842" w:rsidRDefault="002C144F" w:rsidP="002C144F">
      <w:r w:rsidRPr="00972842">
        <w:t xml:space="preserve">Email: </w:t>
      </w:r>
    </w:p>
    <w:p w:rsidR="002C144F" w:rsidRPr="00972842" w:rsidRDefault="002C144F" w:rsidP="002C144F">
      <w:r w:rsidRPr="00972842">
        <w:t xml:space="preserve">Other contact information: </w:t>
      </w:r>
    </w:p>
    <w:p w:rsidR="002C144F" w:rsidRPr="00972842" w:rsidRDefault="002C144F" w:rsidP="002C144F">
      <w:r w:rsidRPr="00972842">
        <w:t>Any known schedule conflicts:</w:t>
      </w:r>
    </w:p>
    <w:p w:rsidR="002C144F" w:rsidRPr="00972842" w:rsidRDefault="002C144F" w:rsidP="002C144F">
      <w:r w:rsidRPr="00972842">
        <w:t>Bio:</w:t>
      </w:r>
    </w:p>
    <w:p w:rsidR="002C144F" w:rsidRPr="00972842" w:rsidRDefault="002C144F" w:rsidP="002C144F"/>
    <w:p w:rsidR="002C144F" w:rsidRPr="00972842" w:rsidRDefault="002C144F" w:rsidP="002C144F">
      <w:r w:rsidRPr="00972842">
        <w:t xml:space="preserve">Name: </w:t>
      </w:r>
    </w:p>
    <w:p w:rsidR="002C144F" w:rsidRPr="00972842" w:rsidRDefault="002C144F" w:rsidP="002C144F">
      <w:r w:rsidRPr="00972842">
        <w:t>Title:</w:t>
      </w:r>
    </w:p>
    <w:p w:rsidR="002C144F" w:rsidRPr="00972842" w:rsidRDefault="002C144F" w:rsidP="002C144F">
      <w:r w:rsidRPr="00972842">
        <w:t xml:space="preserve">Organization: </w:t>
      </w:r>
    </w:p>
    <w:p w:rsidR="002C144F" w:rsidRPr="00972842" w:rsidRDefault="002C144F" w:rsidP="002C144F">
      <w:r w:rsidRPr="00972842">
        <w:t xml:space="preserve">Address: </w:t>
      </w:r>
    </w:p>
    <w:p w:rsidR="002C144F" w:rsidRPr="00972842" w:rsidRDefault="002C144F" w:rsidP="002C144F">
      <w:r w:rsidRPr="00972842">
        <w:t xml:space="preserve">Phone: </w:t>
      </w:r>
    </w:p>
    <w:p w:rsidR="002C144F" w:rsidRPr="00972842" w:rsidRDefault="002C144F" w:rsidP="002C144F">
      <w:r w:rsidRPr="00972842">
        <w:t xml:space="preserve">Email: </w:t>
      </w:r>
    </w:p>
    <w:p w:rsidR="002C144F" w:rsidRPr="00972842" w:rsidRDefault="002C144F" w:rsidP="002C144F">
      <w:r w:rsidRPr="00972842">
        <w:t xml:space="preserve">Other contact information: </w:t>
      </w:r>
    </w:p>
    <w:p w:rsidR="002C144F" w:rsidRPr="00972842" w:rsidRDefault="002C144F" w:rsidP="002C144F">
      <w:r w:rsidRPr="00972842">
        <w:t>Any known schedule conflicts:</w:t>
      </w:r>
    </w:p>
    <w:p w:rsidR="002C144F" w:rsidRPr="00972842" w:rsidRDefault="002C144F" w:rsidP="002C144F">
      <w:r w:rsidRPr="00972842">
        <w:lastRenderedPageBreak/>
        <w:t xml:space="preserve">Bio: </w:t>
      </w:r>
    </w:p>
    <w:p w:rsidR="002C144F" w:rsidRPr="00972842" w:rsidRDefault="002C144F" w:rsidP="002C144F"/>
    <w:p w:rsidR="002C144F" w:rsidRPr="00972842" w:rsidRDefault="002C144F" w:rsidP="002C144F">
      <w:r w:rsidRPr="00972842">
        <w:t xml:space="preserve">Name: </w:t>
      </w:r>
    </w:p>
    <w:p w:rsidR="002C144F" w:rsidRPr="00972842" w:rsidRDefault="002C144F" w:rsidP="002C144F">
      <w:r w:rsidRPr="00972842">
        <w:t>Title:</w:t>
      </w:r>
    </w:p>
    <w:p w:rsidR="002C144F" w:rsidRPr="00972842" w:rsidRDefault="002C144F" w:rsidP="002C144F">
      <w:r w:rsidRPr="00972842">
        <w:t xml:space="preserve">Organization: </w:t>
      </w:r>
    </w:p>
    <w:p w:rsidR="002C144F" w:rsidRPr="00972842" w:rsidRDefault="002C144F" w:rsidP="002C144F">
      <w:r w:rsidRPr="00972842">
        <w:t xml:space="preserve">Address: </w:t>
      </w:r>
    </w:p>
    <w:p w:rsidR="002C144F" w:rsidRPr="00972842" w:rsidRDefault="002C144F" w:rsidP="002C144F">
      <w:r w:rsidRPr="00972842">
        <w:t xml:space="preserve">Phone: </w:t>
      </w:r>
    </w:p>
    <w:p w:rsidR="002C144F" w:rsidRPr="00972842" w:rsidRDefault="002C144F" w:rsidP="002C144F">
      <w:r w:rsidRPr="00972842">
        <w:t xml:space="preserve">Email: </w:t>
      </w:r>
    </w:p>
    <w:p w:rsidR="002C144F" w:rsidRPr="00972842" w:rsidRDefault="002C144F" w:rsidP="002C144F">
      <w:r w:rsidRPr="00972842">
        <w:t xml:space="preserve">Other contact information: </w:t>
      </w:r>
    </w:p>
    <w:p w:rsidR="002C144F" w:rsidRPr="00972842" w:rsidRDefault="002C144F" w:rsidP="002C144F">
      <w:r w:rsidRPr="00972842">
        <w:t>Any known schedule conflicts:</w:t>
      </w:r>
    </w:p>
    <w:p w:rsidR="002C144F" w:rsidRPr="00972842" w:rsidRDefault="002C144F" w:rsidP="002C144F">
      <w:r w:rsidRPr="00972842">
        <w:t xml:space="preserve">Bio: </w:t>
      </w:r>
    </w:p>
    <w:p w:rsidR="002C144F" w:rsidRPr="009D6783" w:rsidRDefault="002C144F" w:rsidP="002C144F">
      <w:r w:rsidRPr="00972842">
        <w:t xml:space="preserve">(Repeat to add additional speakers if needed) </w:t>
      </w:r>
    </w:p>
    <w:p w:rsidR="002C144F" w:rsidRPr="00972842" w:rsidRDefault="002C144F" w:rsidP="002C144F">
      <w:pPr>
        <w:jc w:val="center"/>
        <w:rPr>
          <w:b/>
          <w:sz w:val="32"/>
          <w:szCs w:val="32"/>
        </w:rPr>
      </w:pPr>
      <w:r w:rsidRPr="00972842">
        <w:rPr>
          <w:b/>
          <w:sz w:val="32"/>
          <w:szCs w:val="32"/>
        </w:rPr>
        <w:t>Material Submission</w:t>
      </w:r>
    </w:p>
    <w:p w:rsidR="002C144F" w:rsidRPr="00972842" w:rsidRDefault="002C144F" w:rsidP="002C144F">
      <w:pPr>
        <w:rPr>
          <w:b/>
          <w:sz w:val="28"/>
          <w:szCs w:val="28"/>
        </w:rPr>
      </w:pPr>
      <w:r w:rsidRPr="00972842">
        <w:rPr>
          <w:b/>
          <w:sz w:val="28"/>
          <w:szCs w:val="28"/>
        </w:rPr>
        <w:t>Written Materials:</w:t>
      </w:r>
    </w:p>
    <w:p w:rsidR="002C144F" w:rsidRPr="00972842" w:rsidRDefault="002C144F" w:rsidP="002C144F">
      <w:r w:rsidRPr="00972842">
        <w:t>All sessions are submitted for Continuing Legal Education</w:t>
      </w:r>
      <w:r>
        <w:t xml:space="preserve"> (CLE)</w:t>
      </w:r>
      <w:r w:rsidRPr="00972842">
        <w:t xml:space="preserve"> accreditation. For Continuing Legal Education purposes, we must receive substantive written materials no later than August </w:t>
      </w:r>
      <w:r>
        <w:t>28, 2019</w:t>
      </w:r>
      <w:r w:rsidRPr="00972842">
        <w:t xml:space="preserve"> </w:t>
      </w:r>
    </w:p>
    <w:p w:rsidR="002C144F" w:rsidRPr="00972842" w:rsidRDefault="002C144F" w:rsidP="002C144F">
      <w:r w:rsidRPr="00972842">
        <w:t xml:space="preserve">Written materials are provided in electronic format to all registered attendees. The rule of thumb for written materials is 10-20 pages per workshop or plenary session, with substantive references and citations. (For Rapid-Fire </w:t>
      </w:r>
      <w:r>
        <w:t xml:space="preserve">sessions </w:t>
      </w:r>
      <w:r w:rsidRPr="00972842">
        <w:t xml:space="preserve">we need at least a 1-page description of the issue and any legal connections for each speaker.) Think of these materials as background reading for attendees, helping the attendees understand concepts and providing more detail—these materials will serve as a foundation for the presentation you make in person at the Conference. There is no limit on the number of pages. Written materials are a great way to include materials beyond what you can expect to cover in your workshop. </w:t>
      </w:r>
    </w:p>
    <w:p w:rsidR="002C144F" w:rsidRPr="00972842" w:rsidRDefault="002C144F" w:rsidP="002C144F">
      <w:r w:rsidRPr="00972842">
        <w:t>PowerPoint presentations alone are generally not acceptable as written materials; written materials should be in the form of articles, briefs, essays, reports, summaries, or analysis. Previously published materials can be submitted as long as you can grant the ABA permission to reprint.</w:t>
      </w:r>
      <w:r>
        <w:t xml:space="preserve"> Materials that are posted online, can be linked to from your materials, without the need for a release to reprint the materials. </w:t>
      </w:r>
      <w:r w:rsidRPr="00972842">
        <w:t>A PowerPoint that has enough detail to satisfy the CLE regulators is very difficult to follow</w:t>
      </w:r>
      <w:r>
        <w:t>;</w:t>
      </w:r>
      <w:r w:rsidRPr="00972842">
        <w:t xml:space="preserve"> a PowerPoint that is easy to follow lacks the detail needed to earn CLE credit. </w:t>
      </w:r>
    </w:p>
    <w:p w:rsidR="002C144F" w:rsidRPr="00972842" w:rsidRDefault="002C144F" w:rsidP="002C144F">
      <w:r w:rsidRPr="00972842">
        <w:lastRenderedPageBreak/>
        <w:t xml:space="preserve">The conference organizers must be granted permission to reproduce all written materials under the terms in the standard ABA speaker agreement. </w:t>
      </w:r>
    </w:p>
    <w:p w:rsidR="002C144F" w:rsidRPr="00972842" w:rsidRDefault="002C144F" w:rsidP="002C144F">
      <w:r w:rsidRPr="00972842">
        <w:t>Written materials that fail to meet the standards for CLE accreditation may be returned for rewriting. If you fail to submit acceptable written materials or sign the speaker agreement by the applicable due dates</w:t>
      </w:r>
      <w:r>
        <w:t>,</w:t>
      </w:r>
      <w:r w:rsidRPr="00972842">
        <w:t xml:space="preserve"> your program may be dropped from the agenda and replaced. The organizers reserve the right to edit or supplement materials for any session. </w:t>
      </w:r>
    </w:p>
    <w:p w:rsidR="002C144F" w:rsidRPr="00972842" w:rsidRDefault="002C144F" w:rsidP="002C144F">
      <w:pPr>
        <w:spacing w:after="0"/>
        <w:rPr>
          <w:b/>
          <w:sz w:val="28"/>
          <w:szCs w:val="28"/>
        </w:rPr>
      </w:pPr>
      <w:r>
        <w:rPr>
          <w:b/>
          <w:sz w:val="28"/>
          <w:szCs w:val="28"/>
        </w:rPr>
        <w:t xml:space="preserve">PowerPoint </w:t>
      </w:r>
      <w:r w:rsidRPr="00972842">
        <w:rPr>
          <w:b/>
          <w:sz w:val="28"/>
          <w:szCs w:val="28"/>
        </w:rPr>
        <w:t>Presentation</w:t>
      </w:r>
      <w:r>
        <w:rPr>
          <w:b/>
          <w:sz w:val="28"/>
          <w:szCs w:val="28"/>
        </w:rPr>
        <w:t>s</w:t>
      </w:r>
      <w:r w:rsidRPr="00972842">
        <w:rPr>
          <w:b/>
          <w:sz w:val="28"/>
          <w:szCs w:val="28"/>
        </w:rPr>
        <w:t xml:space="preserve"> and </w:t>
      </w:r>
      <w:r>
        <w:rPr>
          <w:b/>
          <w:sz w:val="28"/>
          <w:szCs w:val="28"/>
        </w:rPr>
        <w:t>O</w:t>
      </w:r>
      <w:r w:rsidRPr="00972842">
        <w:rPr>
          <w:b/>
          <w:sz w:val="28"/>
          <w:szCs w:val="28"/>
        </w:rPr>
        <w:t>ther Materials:</w:t>
      </w:r>
    </w:p>
    <w:p w:rsidR="002C144F" w:rsidRDefault="002C144F" w:rsidP="002C144F">
      <w:pPr>
        <w:spacing w:after="0"/>
      </w:pPr>
    </w:p>
    <w:p w:rsidR="002C144F" w:rsidRPr="00972842" w:rsidRDefault="002C144F" w:rsidP="002C144F">
      <w:pPr>
        <w:spacing w:after="0"/>
      </w:pPr>
      <w:r w:rsidRPr="00972842">
        <w:t xml:space="preserve">PowerPoint presentations for use during the Conference are a separate item from the written materials. PowerPoint presentations or other visual reinforcements are encouraged, but not required. </w:t>
      </w:r>
      <w:r w:rsidRPr="00972842">
        <w:rPr>
          <w:u w:val="single"/>
        </w:rPr>
        <w:t xml:space="preserve">For the </w:t>
      </w:r>
      <w:r>
        <w:rPr>
          <w:u w:val="single"/>
        </w:rPr>
        <w:t>Lightening-Round,</w:t>
      </w:r>
      <w:r w:rsidRPr="00972842">
        <w:rPr>
          <w:u w:val="single"/>
        </w:rPr>
        <w:t xml:space="preserve"> we need PowerPoint</w:t>
      </w:r>
      <w:r>
        <w:rPr>
          <w:u w:val="single"/>
        </w:rPr>
        <w:t xml:space="preserve"> slides</w:t>
      </w:r>
      <w:r w:rsidRPr="00972842">
        <w:rPr>
          <w:u w:val="single"/>
        </w:rPr>
        <w:t xml:space="preserve"> </w:t>
      </w:r>
      <w:r>
        <w:rPr>
          <w:u w:val="single"/>
        </w:rPr>
        <w:t>by October 18, 2019</w:t>
      </w:r>
      <w:r w:rsidRPr="00972842">
        <w:t>, for all other sessions</w:t>
      </w:r>
      <w:r>
        <w:t>,</w:t>
      </w:r>
      <w:r w:rsidRPr="00972842">
        <w:t xml:space="preserve"> PowerPoint</w:t>
      </w:r>
      <w:r>
        <w:t xml:space="preserve"> slides</w:t>
      </w:r>
      <w:r w:rsidRPr="00972842">
        <w:t xml:space="preserve"> are not needed until you arrive to present. If possible, please bring a laptop you are familiar with </w:t>
      </w:r>
      <w:r>
        <w:t>that has</w:t>
      </w:r>
      <w:r w:rsidRPr="00972842">
        <w:t xml:space="preserve"> your PowerPoint</w:t>
      </w:r>
      <w:r>
        <w:t xml:space="preserve"> slides already loaded</w:t>
      </w:r>
      <w:r w:rsidRPr="00972842">
        <w:t xml:space="preserve">. </w:t>
      </w:r>
    </w:p>
    <w:p w:rsidR="002C144F" w:rsidRPr="00972842" w:rsidRDefault="002C144F" w:rsidP="002C144F">
      <w:pPr>
        <w:jc w:val="center"/>
        <w:rPr>
          <w:b/>
          <w:sz w:val="32"/>
          <w:szCs w:val="32"/>
        </w:rPr>
      </w:pPr>
      <w:r w:rsidRPr="00972842">
        <w:rPr>
          <w:b/>
          <w:sz w:val="32"/>
          <w:szCs w:val="32"/>
        </w:rPr>
        <w:t>Proposal Submission and Selection</w:t>
      </w:r>
    </w:p>
    <w:p w:rsidR="002C144F" w:rsidRPr="00972842" w:rsidRDefault="002C144F" w:rsidP="002C144F">
      <w:r w:rsidRPr="00972842">
        <w:t xml:space="preserve">Submit proposals as </w:t>
      </w:r>
      <w:r w:rsidRPr="00972842">
        <w:rPr>
          <w:b/>
          <w:u w:val="single"/>
        </w:rPr>
        <w:t>Word</w:t>
      </w:r>
      <w:r w:rsidRPr="00972842">
        <w:t xml:space="preserve"> documents by email to </w:t>
      </w:r>
      <w:hyperlink r:id="rId10" w:history="1">
        <w:r w:rsidRPr="00972842">
          <w:rPr>
            <w:rStyle w:val="Hyperlink"/>
          </w:rPr>
          <w:t>David.Godfrey@Americanbar.org</w:t>
        </w:r>
      </w:hyperlink>
      <w:r>
        <w:rPr>
          <w:rStyle w:val="Hyperlink"/>
        </w:rPr>
        <w:t>.</w:t>
      </w:r>
      <w:r w:rsidRPr="00972842">
        <w:t xml:space="preserve"> </w:t>
      </w:r>
    </w:p>
    <w:p w:rsidR="002C144F" w:rsidRPr="00972842" w:rsidRDefault="002C144F" w:rsidP="002C144F">
      <w:r w:rsidRPr="00972842">
        <w:t xml:space="preserve">We are unable to accept pdfs or handwritten proposals. </w:t>
      </w:r>
    </w:p>
    <w:p w:rsidR="002C144F" w:rsidRPr="00972842" w:rsidRDefault="002C144F" w:rsidP="002C144F">
      <w:r w:rsidRPr="00972842">
        <w:t xml:space="preserve">Email </w:t>
      </w:r>
      <w:hyperlink r:id="rId11" w:history="1">
        <w:r w:rsidRPr="00972842">
          <w:rPr>
            <w:rStyle w:val="Hyperlink"/>
          </w:rPr>
          <w:t>David.Godfrey@Americanbar.org</w:t>
        </w:r>
      </w:hyperlink>
      <w:r w:rsidRPr="00972842">
        <w:t xml:space="preserve"> if you need the Word template to submit a proposal. </w:t>
      </w:r>
    </w:p>
    <w:p w:rsidR="002C144F" w:rsidRPr="00972842" w:rsidRDefault="002C144F" w:rsidP="002C144F">
      <w:r w:rsidRPr="00972842">
        <w:t xml:space="preserve">All proposals must be received by March </w:t>
      </w:r>
      <w:r>
        <w:t>1, 2019</w:t>
      </w:r>
      <w:r w:rsidRPr="00972842">
        <w:t xml:space="preserve">, to be considered. </w:t>
      </w:r>
    </w:p>
    <w:p w:rsidR="002C144F" w:rsidRPr="00972842" w:rsidRDefault="002C144F" w:rsidP="002C144F">
      <w:r w:rsidRPr="00972842">
        <w:t>By submitting this proposal, you agree to:</w:t>
      </w:r>
    </w:p>
    <w:p w:rsidR="002C144F" w:rsidRPr="00972842" w:rsidRDefault="002C144F" w:rsidP="002C144F">
      <w:pPr>
        <w:pStyle w:val="ListParagraph"/>
        <w:numPr>
          <w:ilvl w:val="0"/>
          <w:numId w:val="3"/>
        </w:numPr>
      </w:pPr>
      <w:r w:rsidRPr="00972842">
        <w:t>Register</w:t>
      </w:r>
      <w:r>
        <w:t xml:space="preserve"> and pay</w:t>
      </w:r>
      <w:r w:rsidRPr="00972842">
        <w:t xml:space="preserve"> for the conference by July </w:t>
      </w:r>
      <w:r>
        <w:t>12, 2019.</w:t>
      </w:r>
      <w:r w:rsidRPr="00972842">
        <w:t xml:space="preserve"> </w:t>
      </w:r>
    </w:p>
    <w:p w:rsidR="002C144F" w:rsidRPr="00972842" w:rsidRDefault="002C144F" w:rsidP="002C144F">
      <w:pPr>
        <w:pStyle w:val="ListParagraph"/>
        <w:numPr>
          <w:ilvl w:val="0"/>
          <w:numId w:val="3"/>
        </w:numPr>
      </w:pPr>
      <w:r w:rsidRPr="00972842">
        <w:t xml:space="preserve">Sign and return the speaker agreement within 30 days of being notified that your session is included on the agenda. </w:t>
      </w:r>
    </w:p>
    <w:p w:rsidR="002C144F" w:rsidRPr="00972842" w:rsidRDefault="002C144F" w:rsidP="002C144F">
      <w:pPr>
        <w:pStyle w:val="ListParagraph"/>
        <w:numPr>
          <w:ilvl w:val="0"/>
          <w:numId w:val="3"/>
        </w:numPr>
      </w:pPr>
      <w:r w:rsidRPr="00972842">
        <w:t xml:space="preserve">Submit 10-20 pages of written materials as described above, no later than August </w:t>
      </w:r>
      <w:r>
        <w:t>28, 2019</w:t>
      </w:r>
      <w:r w:rsidRPr="00972842">
        <w:t xml:space="preserve">. </w:t>
      </w:r>
    </w:p>
    <w:p w:rsidR="002C144F" w:rsidRPr="00972842" w:rsidRDefault="002C144F" w:rsidP="002C144F">
      <w:pPr>
        <w:pStyle w:val="ListParagraph"/>
        <w:numPr>
          <w:ilvl w:val="0"/>
          <w:numId w:val="3"/>
        </w:numPr>
      </w:pPr>
      <w:r w:rsidRPr="00972842">
        <w:t>Attend the Conference and present the program.</w:t>
      </w:r>
    </w:p>
    <w:p w:rsidR="002C144F" w:rsidRPr="00972842" w:rsidRDefault="002C144F" w:rsidP="002C144F">
      <w:r w:rsidRPr="00972842">
        <w:t>Criteria for Selection:</w:t>
      </w:r>
    </w:p>
    <w:p w:rsidR="002C144F" w:rsidRPr="00972842" w:rsidRDefault="002C144F" w:rsidP="002C144F">
      <w:pPr>
        <w:pStyle w:val="ListParagraph"/>
        <w:numPr>
          <w:ilvl w:val="0"/>
          <w:numId w:val="4"/>
        </w:numPr>
      </w:pPr>
      <w:r w:rsidRPr="00972842">
        <w:t xml:space="preserve">A focus on the issues as they impact older Americans with the greatest economic and social needs </w:t>
      </w:r>
    </w:p>
    <w:p w:rsidR="002C144F" w:rsidRPr="00972842" w:rsidRDefault="002C144F" w:rsidP="002C144F">
      <w:pPr>
        <w:pStyle w:val="ListParagraph"/>
        <w:numPr>
          <w:ilvl w:val="0"/>
          <w:numId w:val="4"/>
        </w:numPr>
      </w:pPr>
      <w:r w:rsidRPr="00972842">
        <w:t xml:space="preserve">Focus on a national perspective (national audience) </w:t>
      </w:r>
    </w:p>
    <w:p w:rsidR="002C144F" w:rsidRPr="00972842" w:rsidRDefault="002C144F" w:rsidP="002C144F">
      <w:pPr>
        <w:pStyle w:val="ListParagraph"/>
        <w:numPr>
          <w:ilvl w:val="0"/>
          <w:numId w:val="4"/>
        </w:numPr>
      </w:pPr>
      <w:r w:rsidRPr="00972842">
        <w:t xml:space="preserve">The use of interactive learning-by-doing techniques </w:t>
      </w:r>
    </w:p>
    <w:p w:rsidR="002C144F" w:rsidRPr="00972842" w:rsidRDefault="002C144F" w:rsidP="002C144F">
      <w:pPr>
        <w:pStyle w:val="ListParagraph"/>
        <w:numPr>
          <w:ilvl w:val="0"/>
          <w:numId w:val="4"/>
        </w:numPr>
      </w:pPr>
      <w:r w:rsidRPr="00972842">
        <w:t xml:space="preserve">Appeal of the program to a wide audience of elder law and legal aid advocates </w:t>
      </w:r>
    </w:p>
    <w:p w:rsidR="002C144F" w:rsidRPr="00972842" w:rsidRDefault="002C144F" w:rsidP="002C144F">
      <w:pPr>
        <w:pStyle w:val="ListParagraph"/>
        <w:numPr>
          <w:ilvl w:val="0"/>
          <w:numId w:val="4"/>
        </w:numPr>
      </w:pPr>
      <w:r w:rsidRPr="00972842">
        <w:t xml:space="preserve">Proposals that are likely to result in materials by the due date </w:t>
      </w:r>
    </w:p>
    <w:p w:rsidR="002C144F" w:rsidRPr="00972842" w:rsidRDefault="002C144F" w:rsidP="002C144F">
      <w:pPr>
        <w:pStyle w:val="ListParagraph"/>
        <w:numPr>
          <w:ilvl w:val="0"/>
          <w:numId w:val="4"/>
        </w:numPr>
      </w:pPr>
      <w:r w:rsidRPr="00972842">
        <w:t xml:space="preserve">Great speakers – please remember to include brief bios or </w:t>
      </w:r>
      <w:r w:rsidRPr="0019156F">
        <w:t>resu</w:t>
      </w:r>
      <w:r w:rsidRPr="00972842">
        <w:t xml:space="preserve">mes for all speakers </w:t>
      </w:r>
    </w:p>
    <w:p w:rsidR="00545809" w:rsidRPr="002C144F" w:rsidRDefault="002C144F">
      <w:pPr>
        <w:rPr>
          <w:b/>
          <w:u w:val="single"/>
        </w:rPr>
      </w:pPr>
      <w:r w:rsidRPr="00972842">
        <w:t>Incorporation of the Conference theme (as appropriate)</w:t>
      </w:r>
      <w:r>
        <w:t xml:space="preserve">: </w:t>
      </w:r>
      <w:r w:rsidRPr="0019156F">
        <w:t>“</w:t>
      </w:r>
      <w:r>
        <w:rPr>
          <w:b/>
          <w:u w:val="single"/>
        </w:rPr>
        <w:t>Empowerment</w:t>
      </w:r>
      <w:r>
        <w:rPr>
          <w:b/>
          <w:u w:val="single"/>
        </w:rPr>
        <w:t>”</w:t>
      </w:r>
      <w:r>
        <w:t xml:space="preserve"> </w:t>
      </w:r>
    </w:p>
    <w:sectPr w:rsidR="00545809" w:rsidRPr="002C14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44F" w:rsidRDefault="002C144F" w:rsidP="002C144F">
      <w:pPr>
        <w:spacing w:after="0" w:line="240" w:lineRule="auto"/>
      </w:pPr>
      <w:r>
        <w:separator/>
      </w:r>
    </w:p>
  </w:endnote>
  <w:endnote w:type="continuationSeparator" w:id="0">
    <w:p w:rsidR="002C144F" w:rsidRDefault="002C144F" w:rsidP="002C1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44F" w:rsidRDefault="002C144F" w:rsidP="002C144F">
      <w:pPr>
        <w:spacing w:after="0" w:line="240" w:lineRule="auto"/>
      </w:pPr>
      <w:r>
        <w:separator/>
      </w:r>
    </w:p>
  </w:footnote>
  <w:footnote w:type="continuationSeparator" w:id="0">
    <w:p w:rsidR="002C144F" w:rsidRDefault="002C144F" w:rsidP="002C144F">
      <w:pPr>
        <w:spacing w:after="0" w:line="240" w:lineRule="auto"/>
      </w:pPr>
      <w:r>
        <w:continuationSeparator/>
      </w:r>
    </w:p>
  </w:footnote>
  <w:footnote w:id="1">
    <w:p w:rsidR="002C144F" w:rsidRDefault="002C144F" w:rsidP="002C144F">
      <w:pPr>
        <w:pStyle w:val="FootnoteText"/>
      </w:pPr>
      <w:r>
        <w:rPr>
          <w:rStyle w:val="FootnoteReference"/>
        </w:rPr>
        <w:footnoteRef/>
      </w:r>
      <w:r>
        <w:t xml:space="preserve"> Yes, we will count, we reserve the right to edit, without your review.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91B"/>
    <w:multiLevelType w:val="hybridMultilevel"/>
    <w:tmpl w:val="94DC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16A9C"/>
    <w:multiLevelType w:val="hybridMultilevel"/>
    <w:tmpl w:val="6C72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42735D"/>
    <w:multiLevelType w:val="hybridMultilevel"/>
    <w:tmpl w:val="24BC8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CE4971"/>
    <w:multiLevelType w:val="hybridMultilevel"/>
    <w:tmpl w:val="6E2611C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 w15:restartNumberingAfterBreak="0">
    <w:nsid w:val="63F0303D"/>
    <w:multiLevelType w:val="hybridMultilevel"/>
    <w:tmpl w:val="A1E43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4E4E24"/>
    <w:multiLevelType w:val="hybridMultilevel"/>
    <w:tmpl w:val="14160A96"/>
    <w:lvl w:ilvl="0" w:tplc="17068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963B82"/>
    <w:multiLevelType w:val="hybridMultilevel"/>
    <w:tmpl w:val="3F5E6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4F"/>
    <w:rsid w:val="002C144F"/>
    <w:rsid w:val="0054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16B7"/>
  <w15:chartTrackingRefBased/>
  <w15:docId w15:val="{2EEC2C8E-D2AF-47A1-9229-6A387425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4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C144F"/>
    <w:pPr>
      <w:ind w:left="720"/>
      <w:contextualSpacing/>
    </w:pPr>
  </w:style>
  <w:style w:type="character" w:styleId="Hyperlink">
    <w:name w:val="Hyperlink"/>
    <w:basedOn w:val="DefaultParagraphFont"/>
    <w:uiPriority w:val="99"/>
    <w:unhideWhenUsed/>
    <w:rsid w:val="002C144F"/>
    <w:rPr>
      <w:color w:val="0563C1" w:themeColor="hyperlink"/>
      <w:u w:val="single"/>
    </w:rPr>
  </w:style>
  <w:style w:type="paragraph" w:styleId="FootnoteText">
    <w:name w:val="footnote text"/>
    <w:basedOn w:val="Normal"/>
    <w:link w:val="FootnoteTextChar"/>
    <w:uiPriority w:val="99"/>
    <w:semiHidden/>
    <w:unhideWhenUsed/>
    <w:rsid w:val="002C14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44F"/>
    <w:rPr>
      <w:sz w:val="20"/>
      <w:szCs w:val="20"/>
    </w:rPr>
  </w:style>
  <w:style w:type="character" w:styleId="FootnoteReference">
    <w:name w:val="footnote reference"/>
    <w:basedOn w:val="DefaultParagraphFont"/>
    <w:uiPriority w:val="99"/>
    <w:semiHidden/>
    <w:unhideWhenUsed/>
    <w:rsid w:val="002C14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bar.org/groups/law_aging/events_c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ericanbar.org/groups/law_aging/events_c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Godfrey@Americanbar.org" TargetMode="External"/><Relationship Id="rId5" Type="http://schemas.openxmlformats.org/officeDocument/2006/relationships/footnotes" Target="footnotes.xml"/><Relationship Id="rId10" Type="http://schemas.openxmlformats.org/officeDocument/2006/relationships/hyperlink" Target="mailto:David.Godfrey@Americanbar.org" TargetMode="External"/><Relationship Id="rId4" Type="http://schemas.openxmlformats.org/officeDocument/2006/relationships/webSettings" Target="webSettings.xml"/><Relationship Id="rId9" Type="http://schemas.openxmlformats.org/officeDocument/2006/relationships/hyperlink" Target="mailto:David.Godfrey@American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1600</Words>
  <Characters>9175</Characters>
  <Application>Microsoft Office Word</Application>
  <DocSecurity>0</DocSecurity>
  <PresentationFormat>15|.DOCX</PresentationFormat>
  <Lines>272</Lines>
  <Paragraphs>160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Shepard</dc:creator>
  <cp:keywords/>
  <dc:description/>
  <cp:lastModifiedBy>Matt Shepard</cp:lastModifiedBy>
  <cp:revision>1</cp:revision>
  <dcterms:created xsi:type="dcterms:W3CDTF">2019-02-28T16:25:00Z</dcterms:created>
  <dcterms:modified xsi:type="dcterms:W3CDTF">2019-02-28T16:26:00Z</dcterms:modified>
</cp:coreProperties>
</file>